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5B" w:rsidRDefault="00451F5B" w:rsidP="00451F5B">
      <w:pPr>
        <w:pStyle w:val="Term"/>
      </w:pPr>
      <w:r w:rsidRPr="00451F5B">
        <w:rPr>
          <w:b/>
        </w:rPr>
        <w:t>Doassansiella</w:t>
      </w:r>
      <w:r>
        <w:t xml:space="preserve"> Zambett., </w:t>
      </w:r>
      <w:r w:rsidRPr="00451F5B">
        <w:rPr>
          <w:i/>
        </w:rPr>
        <w:t>Rev. Mycol.</w:t>
      </w:r>
      <w:r>
        <w:t xml:space="preserve"> Paris </w:t>
      </w:r>
      <w:r w:rsidRPr="00451F5B">
        <w:rPr>
          <w:b/>
        </w:rPr>
        <w:t>35</w:t>
      </w:r>
      <w:r>
        <w:t xml:space="preserve"> (1-2): 164 (1970). – Type: </w:t>
      </w:r>
      <w:r w:rsidRPr="00451F5B">
        <w:rPr>
          <w:i/>
        </w:rPr>
        <w:t>Doassansiella aquatilis</w:t>
      </w:r>
      <w:r>
        <w:t xml:space="preserve"> (Peck) Zambett. 1970 – [Fungi: Basidiomycota: Ustilaginomycotina: Ustilaginomycetes: Incertae sedis: Urocystidales: Doassansiopsidaceae].</w:t>
      </w:r>
    </w:p>
    <w:p w:rsidR="00451F5B" w:rsidRDefault="00451F5B" w:rsidP="00451F5B">
      <w:pPr>
        <w:pStyle w:val="Term"/>
      </w:pPr>
      <w:r w:rsidRPr="00451F5B">
        <w:rPr>
          <w:b/>
        </w:rPr>
        <w:t>Doassansiopsis</w:t>
      </w:r>
      <w:r>
        <w:t xml:space="preserve"> (Setch.) Dietel, </w:t>
      </w:r>
      <w:r w:rsidRPr="00451F5B">
        <w:rPr>
          <w:i/>
        </w:rPr>
        <w:t>Nat. Pflanzenfam.</w:t>
      </w:r>
      <w:r>
        <w:t xml:space="preserve"> Teil. </w:t>
      </w:r>
      <w:r w:rsidRPr="00451F5B">
        <w:rPr>
          <w:b/>
        </w:rPr>
        <w:t>I</w:t>
      </w:r>
      <w:r>
        <w:t xml:space="preserve"> (Leipzig) </w:t>
      </w:r>
      <w:r w:rsidRPr="00451F5B">
        <w:rPr>
          <w:b/>
        </w:rPr>
        <w:t>1**</w:t>
      </w:r>
      <w:r>
        <w:t xml:space="preserve">: 15, 21 (1897). – Type: </w:t>
      </w:r>
      <w:r w:rsidRPr="00451F5B">
        <w:rPr>
          <w:i/>
        </w:rPr>
        <w:t>Doassansiopsis deformans</w:t>
      </w:r>
      <w:r>
        <w:t xml:space="preserve"> (Setch.) Dietel 1897 – [Fungi: Basidiomycota: Ustilaginomycotina: Ust</w:t>
      </w:r>
      <w:r>
        <w:t>i</w:t>
      </w:r>
      <w:r>
        <w:t>laginomycetes: Incertae sedis: Urocystidales: Doassansiopsidaceae].</w:t>
      </w:r>
    </w:p>
    <w:p w:rsidR="00451F5B" w:rsidRDefault="00451F5B" w:rsidP="00451F5B">
      <w:pPr>
        <w:pStyle w:val="Term"/>
      </w:pPr>
      <w:r w:rsidRPr="00451F5B">
        <w:rPr>
          <w:b/>
        </w:rPr>
        <w:t>Mundkurella</w:t>
      </w:r>
      <w:r>
        <w:t xml:space="preserve"> Thirum., </w:t>
      </w:r>
      <w:r w:rsidRPr="00451F5B">
        <w:rPr>
          <w:i/>
        </w:rPr>
        <w:t>Mycologia</w:t>
      </w:r>
      <w:r>
        <w:t xml:space="preserve"> </w:t>
      </w:r>
      <w:r w:rsidRPr="00451F5B">
        <w:rPr>
          <w:b/>
        </w:rPr>
        <w:t>36</w:t>
      </w:r>
      <w:r>
        <w:t xml:space="preserve"> (6): 594 (1944). – Type: </w:t>
      </w:r>
      <w:r w:rsidRPr="00451F5B">
        <w:rPr>
          <w:i/>
        </w:rPr>
        <w:t>Mundkurella heptapleuri</w:t>
      </w:r>
      <w:r>
        <w:t xml:space="preserve"> Thirum. 1944 – [Fungi: Basidiomycota: Ustilaginom</w:t>
      </w:r>
      <w:r>
        <w:t>y</w:t>
      </w:r>
      <w:r>
        <w:t>cotina: Ustilaginomycetes: Incertae sedis: Urocy</w:t>
      </w:r>
      <w:r>
        <w:t>s</w:t>
      </w:r>
      <w:r>
        <w:t>tidales: Urocystidaceae].</w:t>
      </w:r>
    </w:p>
    <w:p w:rsidR="00451F5B" w:rsidRDefault="00451F5B" w:rsidP="00451F5B">
      <w:pPr>
        <w:pStyle w:val="Term"/>
      </w:pPr>
      <w:r w:rsidRPr="00451F5B">
        <w:rPr>
          <w:b/>
        </w:rPr>
        <w:t>Mycosyrinx</w:t>
      </w:r>
      <w:r>
        <w:t xml:space="preserve"> Beck, </w:t>
      </w:r>
      <w:r w:rsidRPr="00451F5B">
        <w:rPr>
          <w:i/>
        </w:rPr>
        <w:t>Annln K. K. naturh. Hofmus. Wien</w:t>
      </w:r>
      <w:r>
        <w:t xml:space="preserve"> </w:t>
      </w:r>
      <w:r w:rsidRPr="00451F5B">
        <w:rPr>
          <w:b/>
        </w:rPr>
        <w:t>9</w:t>
      </w:r>
      <w:r>
        <w:t xml:space="preserve">: 123 (1894). – Type: </w:t>
      </w:r>
      <w:r w:rsidRPr="00451F5B">
        <w:rPr>
          <w:i/>
        </w:rPr>
        <w:t>Mycosyrinx cissi</w:t>
      </w:r>
      <w:r>
        <w:t xml:space="preserve"> (DC.) Beck 1894 – [Fungi: Basidiomycota: Ust</w:t>
      </w:r>
      <w:r>
        <w:t>i</w:t>
      </w:r>
      <w:r>
        <w:t>laginomycotina: Ustilaginomycetes: Incertae sedis: Urocystidales: Mycosyringaceae].</w:t>
      </w:r>
    </w:p>
    <w:p w:rsidR="00451F5B" w:rsidRDefault="00451F5B" w:rsidP="00451F5B">
      <w:pPr>
        <w:pStyle w:val="Term"/>
      </w:pPr>
      <w:r w:rsidRPr="00451F5B">
        <w:rPr>
          <w:b/>
        </w:rPr>
        <w:t>Paepalopsis</w:t>
      </w:r>
      <w:r>
        <w:t xml:space="preserve"> J.G. Kühn, </w:t>
      </w:r>
      <w:r w:rsidRPr="00451F5B">
        <w:rPr>
          <w:i/>
        </w:rPr>
        <w:t>Irmischia</w:t>
      </w:r>
      <w:r>
        <w:t xml:space="preserve"> </w:t>
      </w:r>
      <w:r w:rsidRPr="00451F5B">
        <w:rPr>
          <w:b/>
        </w:rPr>
        <w:t>7</w:t>
      </w:r>
      <w:r>
        <w:t xml:space="preserve">: 39 (1882). – Type: </w:t>
      </w:r>
      <w:r w:rsidRPr="00451F5B">
        <w:rPr>
          <w:i/>
        </w:rPr>
        <w:t>Paepalopsis irmischiae</w:t>
      </w:r>
      <w:r>
        <w:t xml:space="preserve"> J.G. Kühn 1882 – [Fungi: Basidiomycota: Ustilaginomycotina: Ust</w:t>
      </w:r>
      <w:r>
        <w:t>i</w:t>
      </w:r>
      <w:r>
        <w:t>laginomycetes: Incertae sedis: Urocystidales: Urocystidaceae].</w:t>
      </w:r>
    </w:p>
    <w:p w:rsidR="00451F5B" w:rsidRDefault="00451F5B" w:rsidP="00451F5B">
      <w:pPr>
        <w:pStyle w:val="Term"/>
      </w:pPr>
      <w:r w:rsidRPr="00451F5B">
        <w:rPr>
          <w:b/>
        </w:rPr>
        <w:t>Rhombiella</w:t>
      </w:r>
      <w:r>
        <w:t xml:space="preserve"> Liro, </w:t>
      </w:r>
      <w:r w:rsidRPr="00451F5B">
        <w:rPr>
          <w:i/>
        </w:rPr>
        <w:t>Ann. Acad. Sci. fenn.</w:t>
      </w:r>
      <w:r>
        <w:t xml:space="preserve"> Ser. A </w:t>
      </w:r>
      <w:r w:rsidRPr="00451F5B">
        <w:rPr>
          <w:b/>
        </w:rPr>
        <w:t>42</w:t>
      </w:r>
      <w:r>
        <w:t xml:space="preserve"> (no. 1): 507, 545 (1939). – Type: </w:t>
      </w:r>
      <w:r w:rsidRPr="00451F5B">
        <w:rPr>
          <w:i/>
        </w:rPr>
        <w:t>Rhombiella ca</w:t>
      </w:r>
      <w:r w:rsidRPr="00451F5B">
        <w:rPr>
          <w:i/>
        </w:rPr>
        <w:t>r</w:t>
      </w:r>
      <w:r w:rsidRPr="00451F5B">
        <w:rPr>
          <w:i/>
        </w:rPr>
        <w:t>damines</w:t>
      </w:r>
      <w:r>
        <w:t xml:space="preserve"> Liro 1939 – [Fungi: Basidiomycota: Ustilaginomycotina: Ustilaginomycetes: Incertae sedis: Urocystidales: Glomosporiaceae].</w:t>
      </w:r>
    </w:p>
    <w:p w:rsidR="00451F5B" w:rsidRDefault="00451F5B" w:rsidP="00451F5B">
      <w:pPr>
        <w:pStyle w:val="Term"/>
      </w:pPr>
      <w:r w:rsidRPr="00451F5B">
        <w:rPr>
          <w:b/>
        </w:rPr>
        <w:t>Thecaphora</w:t>
      </w:r>
      <w:r>
        <w:t xml:space="preserve"> Fingerh., </w:t>
      </w:r>
      <w:r w:rsidRPr="00451F5B">
        <w:rPr>
          <w:i/>
        </w:rPr>
        <w:t>Linnaea</w:t>
      </w:r>
      <w:r>
        <w:t xml:space="preserve"> </w:t>
      </w:r>
      <w:r w:rsidRPr="00451F5B">
        <w:rPr>
          <w:b/>
        </w:rPr>
        <w:t>10</w:t>
      </w:r>
      <w:r>
        <w:t xml:space="preserve">: 230 (1836). – Type: </w:t>
      </w:r>
      <w:r w:rsidRPr="00451F5B">
        <w:rPr>
          <w:i/>
        </w:rPr>
        <w:t>Thecaphora hyalina</w:t>
      </w:r>
      <w:r>
        <w:t xml:space="preserve"> Fingerh. 1836 – [Fungi: Basidiomycota: Ustilaginomycotina: Ust</w:t>
      </w:r>
      <w:r>
        <w:t>i</w:t>
      </w:r>
      <w:r>
        <w:t>laginomycetes: Incertae sedis: Urocystidales: Glomosporiaceae].</w:t>
      </w:r>
    </w:p>
    <w:p w:rsidR="00451F5B" w:rsidRDefault="00451F5B" w:rsidP="00451F5B">
      <w:pPr>
        <w:pStyle w:val="Term"/>
      </w:pPr>
      <w:r w:rsidRPr="00451F5B">
        <w:rPr>
          <w:b/>
        </w:rPr>
        <w:t>Urocystis</w:t>
      </w:r>
      <w:r>
        <w:t xml:space="preserve"> Rabenh. ex Fuckel, </w:t>
      </w:r>
      <w:r w:rsidRPr="00451F5B">
        <w:rPr>
          <w:i/>
        </w:rPr>
        <w:t>Jb. nassau. Ver. Naturk.</w:t>
      </w:r>
      <w:r>
        <w:t xml:space="preserve"> </w:t>
      </w:r>
      <w:r w:rsidRPr="00451F5B">
        <w:rPr>
          <w:b/>
        </w:rPr>
        <w:t>23-24</w:t>
      </w:r>
      <w:r>
        <w:t xml:space="preserve">: 41 (1870) [‘1869-70’]. – Type: </w:t>
      </w:r>
      <w:r w:rsidRPr="00451F5B">
        <w:rPr>
          <w:i/>
        </w:rPr>
        <w:t>Urocystis occulta</w:t>
      </w:r>
      <w:r>
        <w:t xml:space="preserve"> (Wallr.) Rabenh. 1870 </w:t>
      </w:r>
      <w:bookmarkStart w:id="0" w:name="SOS"/>
      <w:bookmarkEnd w:id="0"/>
      <w:r>
        <w:t>– [Fungi: Basidiomycota: Ustilaginomycotina: Ustilagin</w:t>
      </w:r>
      <w:r>
        <w:t>o</w:t>
      </w:r>
      <w:r>
        <w:t>mycetes: Incertae sedis: Urocystidales: Urocyst</w:t>
      </w:r>
      <w:r>
        <w:t>i</w:t>
      </w:r>
      <w:r>
        <w:t>daceae].</w:t>
      </w:r>
    </w:p>
    <w:p w:rsidR="00451F5B" w:rsidRDefault="00451F5B" w:rsidP="00451F5B">
      <w:pPr>
        <w:pStyle w:val="Term"/>
      </w:pPr>
      <w:r w:rsidRPr="00451F5B">
        <w:rPr>
          <w:b/>
        </w:rPr>
        <w:t>Ustacystis</w:t>
      </w:r>
      <w:r>
        <w:t xml:space="preserve"> Zundel, </w:t>
      </w:r>
      <w:r w:rsidRPr="00451F5B">
        <w:rPr>
          <w:i/>
        </w:rPr>
        <w:t>Mycologia</w:t>
      </w:r>
      <w:r>
        <w:t xml:space="preserve"> </w:t>
      </w:r>
      <w:r w:rsidRPr="00451F5B">
        <w:rPr>
          <w:b/>
        </w:rPr>
        <w:t>37</w:t>
      </w:r>
      <w:r>
        <w:t xml:space="preserve"> (6): 796 (1945). – Type: </w:t>
      </w:r>
      <w:r w:rsidRPr="00451F5B">
        <w:rPr>
          <w:i/>
        </w:rPr>
        <w:t>Ustacystis waldsteiniae</w:t>
      </w:r>
      <w:r>
        <w:t xml:space="preserve"> (Peck) Zundel 1945 – [Fungi: Basidiomycota: Ustilaginomycotina: Ustilaginomycetes: Incertae sedis: Urocystidales: Urocystidaceae].</w:t>
      </w:r>
    </w:p>
    <w:p w:rsidR="00623A51" w:rsidRPr="000C7C11" w:rsidRDefault="00623A51" w:rsidP="00451F5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F5B" w:rsidRDefault="00451F5B">
      <w:r>
        <w:separator/>
      </w:r>
    </w:p>
  </w:endnote>
  <w:endnote w:type="continuationSeparator" w:id="0">
    <w:p w:rsidR="00451F5B" w:rsidRDefault="0045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F5B" w:rsidRDefault="00451F5B">
      <w:r>
        <w:separator/>
      </w:r>
    </w:p>
  </w:footnote>
  <w:footnote w:type="continuationSeparator" w:id="0">
    <w:p w:rsidR="00451F5B" w:rsidRDefault="00451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40BE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40BE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51F5B"/>
    <w:rsid w:val="00532E41"/>
    <w:rsid w:val="005E2EA0"/>
    <w:rsid w:val="00623A51"/>
    <w:rsid w:val="0078319F"/>
    <w:rsid w:val="007B0B8B"/>
    <w:rsid w:val="00842E37"/>
    <w:rsid w:val="008E1953"/>
    <w:rsid w:val="00B40BEE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40BE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40BE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40BE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40BEE"/>
    <w:pPr>
      <w:ind w:left="0"/>
    </w:pPr>
  </w:style>
  <w:style w:type="paragraph" w:customStyle="1" w:styleId="Name">
    <w:name w:val="Name"/>
    <w:basedOn w:val="Normal"/>
    <w:rsid w:val="00B40BE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40BE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40BE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40BEE"/>
    <w:pPr>
      <w:outlineLvl w:val="4"/>
    </w:pPr>
    <w:rPr>
      <w:sz w:val="20"/>
    </w:rPr>
  </w:style>
  <w:style w:type="paragraph" w:customStyle="1" w:styleId="Data">
    <w:name w:val="Data"/>
    <w:basedOn w:val="Normal"/>
    <w:rsid w:val="00B40BE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40BEE"/>
    <w:pPr>
      <w:ind w:left="960"/>
    </w:pPr>
  </w:style>
  <w:style w:type="paragraph" w:styleId="TOC2">
    <w:name w:val="toc 2"/>
    <w:basedOn w:val="Normal"/>
    <w:next w:val="Normal"/>
    <w:autoRedefine/>
    <w:semiHidden/>
    <w:rsid w:val="00B40BEE"/>
    <w:pPr>
      <w:ind w:left="160"/>
    </w:pPr>
  </w:style>
  <w:style w:type="paragraph" w:styleId="TOC3">
    <w:name w:val="toc 3"/>
    <w:basedOn w:val="Normal"/>
    <w:next w:val="Normal"/>
    <w:autoRedefine/>
    <w:semiHidden/>
    <w:rsid w:val="00B40BEE"/>
    <w:pPr>
      <w:ind w:left="320"/>
    </w:pPr>
  </w:style>
  <w:style w:type="paragraph" w:styleId="TOC4">
    <w:name w:val="toc 4"/>
    <w:basedOn w:val="Normal"/>
    <w:next w:val="Normal"/>
    <w:autoRedefine/>
    <w:semiHidden/>
    <w:rsid w:val="00B40BEE"/>
    <w:pPr>
      <w:ind w:left="480"/>
    </w:pPr>
  </w:style>
  <w:style w:type="paragraph" w:styleId="TOC5">
    <w:name w:val="toc 5"/>
    <w:basedOn w:val="Normal"/>
    <w:next w:val="Normal"/>
    <w:autoRedefine/>
    <w:semiHidden/>
    <w:rsid w:val="00B40BEE"/>
    <w:pPr>
      <w:ind w:left="640"/>
    </w:pPr>
  </w:style>
  <w:style w:type="paragraph" w:styleId="TOC6">
    <w:name w:val="toc 6"/>
    <w:basedOn w:val="Normal"/>
    <w:next w:val="Normal"/>
    <w:autoRedefine/>
    <w:semiHidden/>
    <w:rsid w:val="00B40BEE"/>
    <w:pPr>
      <w:ind w:left="800"/>
    </w:pPr>
  </w:style>
  <w:style w:type="paragraph" w:styleId="TOC8">
    <w:name w:val="toc 8"/>
    <w:basedOn w:val="Normal"/>
    <w:next w:val="Normal"/>
    <w:autoRedefine/>
    <w:semiHidden/>
    <w:rsid w:val="00B40BEE"/>
    <w:pPr>
      <w:ind w:left="1120"/>
    </w:pPr>
  </w:style>
  <w:style w:type="paragraph" w:styleId="TOC9">
    <w:name w:val="toc 9"/>
    <w:basedOn w:val="Normal"/>
    <w:next w:val="Normal"/>
    <w:autoRedefine/>
    <w:semiHidden/>
    <w:rsid w:val="00B40BEE"/>
    <w:pPr>
      <w:ind w:left="1280"/>
    </w:pPr>
  </w:style>
  <w:style w:type="paragraph" w:styleId="Header">
    <w:name w:val="header"/>
    <w:basedOn w:val="Normal"/>
    <w:rsid w:val="00B40BE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40BEE"/>
    <w:pPr>
      <w:ind w:left="0"/>
    </w:pPr>
    <w:rPr>
      <w:sz w:val="28"/>
    </w:rPr>
  </w:style>
  <w:style w:type="paragraph" w:customStyle="1" w:styleId="Family">
    <w:name w:val="Family"/>
    <w:basedOn w:val="Order"/>
    <w:rsid w:val="00B40BEE"/>
  </w:style>
  <w:style w:type="paragraph" w:styleId="Footer">
    <w:name w:val="footer"/>
    <w:basedOn w:val="Normal"/>
    <w:rsid w:val="00B40B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0BEE"/>
  </w:style>
  <w:style w:type="paragraph" w:customStyle="1" w:styleId="Hierarchy">
    <w:name w:val="Hierarchy"/>
    <w:basedOn w:val="Normal"/>
    <w:rsid w:val="00B40BEE"/>
    <w:pPr>
      <w:ind w:left="0"/>
    </w:pPr>
  </w:style>
  <w:style w:type="paragraph" w:customStyle="1" w:styleId="Genus">
    <w:name w:val="Genus"/>
    <w:basedOn w:val="Normal"/>
    <w:rsid w:val="00B40BE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40BEE"/>
    <w:pPr>
      <w:spacing w:after="120"/>
    </w:pPr>
  </w:style>
  <w:style w:type="paragraph" w:customStyle="1" w:styleId="Synonyms">
    <w:name w:val="Synonyms"/>
    <w:basedOn w:val="Genus"/>
    <w:rsid w:val="00B40BE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40BEE"/>
    <w:rPr>
      <w:b/>
    </w:rPr>
  </w:style>
  <w:style w:type="paragraph" w:styleId="Bibliography">
    <w:name w:val="Bibliography"/>
    <w:basedOn w:val="Normal"/>
    <w:rsid w:val="00B40BEE"/>
    <w:pPr>
      <w:ind w:hanging="288"/>
    </w:pPr>
    <w:rPr>
      <w:b/>
    </w:rPr>
  </w:style>
  <w:style w:type="paragraph" w:customStyle="1" w:styleId="synonym">
    <w:name w:val="synonym"/>
    <w:basedOn w:val="Data"/>
    <w:rsid w:val="00B40BE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40BE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208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2014-01-02T13:33:00Z</dcterms:created>
  <dcterms:modified xsi:type="dcterms:W3CDTF">2014-01-02T13:33:00Z</dcterms:modified>
</cp:coreProperties>
</file>