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E4" w:rsidRDefault="00D310E4" w:rsidP="00D310E4">
      <w:pPr>
        <w:pStyle w:val="Term"/>
      </w:pPr>
      <w:r w:rsidRPr="00D310E4">
        <w:rPr>
          <w:b/>
        </w:rPr>
        <w:t>Buerenia</w:t>
      </w:r>
      <w:r>
        <w:t xml:space="preserve"> M.S. Reddy &amp; C.L. Kramer, </w:t>
      </w:r>
      <w:r w:rsidRPr="00D310E4">
        <w:rPr>
          <w:i/>
        </w:rPr>
        <w:t>Mycotaxon</w:t>
      </w:r>
      <w:r>
        <w:t xml:space="preserve"> </w:t>
      </w:r>
      <w:r w:rsidRPr="00D310E4">
        <w:rPr>
          <w:b/>
        </w:rPr>
        <w:t>3</w:t>
      </w:r>
      <w:r>
        <w:t xml:space="preserve"> (1): 10 (1975). – Type: </w:t>
      </w:r>
      <w:r w:rsidRPr="00D310E4">
        <w:rPr>
          <w:i/>
        </w:rPr>
        <w:t>Buerenia cicutae</w:t>
      </w:r>
      <w:r>
        <w:t xml:space="preserve"> (Lindr.) M.S. Reddy &amp; C.L. Kramer 1975 – [Fungi: A</w:t>
      </w:r>
      <w:r>
        <w:t>s</w:t>
      </w:r>
      <w:r>
        <w:t>comycota: Taphrinomycotina: Taphrinomycetes: Taphrinomycetidae: Taphrinales: Protomycet</w:t>
      </w:r>
      <w:r>
        <w:t>a</w:t>
      </w:r>
      <w:r>
        <w:t>ceae].</w:t>
      </w:r>
    </w:p>
    <w:p w:rsidR="00D310E4" w:rsidRDefault="00D310E4" w:rsidP="00D310E4">
      <w:pPr>
        <w:pStyle w:val="Term"/>
      </w:pPr>
      <w:r w:rsidRPr="00D310E4">
        <w:rPr>
          <w:b/>
        </w:rPr>
        <w:t>Protomyces</w:t>
      </w:r>
      <w:r>
        <w:t xml:space="preserve"> Unger, </w:t>
      </w:r>
      <w:r w:rsidRPr="00D310E4">
        <w:rPr>
          <w:i/>
        </w:rPr>
        <w:t>Exanth. Pflanzen.</w:t>
      </w:r>
      <w:r>
        <w:t xml:space="preserve"> (Wien): 341 (1833). – Type: </w:t>
      </w:r>
      <w:r w:rsidRPr="00D310E4">
        <w:rPr>
          <w:i/>
        </w:rPr>
        <w:t>Protomyces macrosporus</w:t>
      </w:r>
      <w:r>
        <w:t xml:space="preserve"> Unger 1834 – [Fungi: Ascomycota: Taphrinomycotina: Taphrinomycetes: Taphrinomycetidae: Taphrin</w:t>
      </w:r>
      <w:r>
        <w:t>a</w:t>
      </w:r>
      <w:r>
        <w:t>les: Taphrinomycetes].</w:t>
      </w:r>
    </w:p>
    <w:p w:rsidR="00D310E4" w:rsidRDefault="00D310E4" w:rsidP="00D310E4">
      <w:pPr>
        <w:pStyle w:val="Term"/>
      </w:pPr>
      <w:r w:rsidRPr="00D310E4">
        <w:rPr>
          <w:b/>
        </w:rPr>
        <w:t>Protomycopsis</w:t>
      </w:r>
      <w:r>
        <w:t xml:space="preserve"> Magnus, </w:t>
      </w:r>
      <w:r w:rsidRPr="00D310E4">
        <w:rPr>
          <w:i/>
        </w:rPr>
        <w:t>Fl. Tirol</w:t>
      </w:r>
      <w:r>
        <w:t xml:space="preserve"> </w:t>
      </w:r>
      <w:r w:rsidRPr="00D310E4">
        <w:rPr>
          <w:b/>
        </w:rPr>
        <w:t>3</w:t>
      </w:r>
      <w:r>
        <w:t xml:space="preserve">: 322 (1905). – Type: </w:t>
      </w:r>
      <w:r w:rsidRPr="00D310E4">
        <w:rPr>
          <w:i/>
        </w:rPr>
        <w:t>Protomycopsis leucanthemi</w:t>
      </w:r>
      <w:r>
        <w:t xml:space="preserve"> Magnus 1905 – [Fungi: Ascomycota: Taphrinomycotina: Tap</w:t>
      </w:r>
      <w:r>
        <w:t>h</w:t>
      </w:r>
      <w:r>
        <w:t>rinomycetes: Taphrinomycetidae: Taphrinales: Taphrinomycetes].</w:t>
      </w:r>
    </w:p>
    <w:p w:rsidR="00D310E4" w:rsidRDefault="00D310E4" w:rsidP="00D310E4">
      <w:pPr>
        <w:pStyle w:val="Term"/>
      </w:pPr>
      <w:r w:rsidRPr="00D310E4">
        <w:rPr>
          <w:b/>
        </w:rPr>
        <w:t>Taphridium</w:t>
      </w:r>
      <w:r>
        <w:t xml:space="preserve"> Lagerh. &amp; Juel, </w:t>
      </w:r>
      <w:r w:rsidRPr="00D310E4">
        <w:rPr>
          <w:i/>
        </w:rPr>
        <w:t>Bih. K. svenska Vete</w:t>
      </w:r>
      <w:r w:rsidRPr="00D310E4">
        <w:rPr>
          <w:i/>
        </w:rPr>
        <w:t>n</w:t>
      </w:r>
      <w:r w:rsidRPr="00D310E4">
        <w:rPr>
          <w:i/>
        </w:rPr>
        <w:t>skAkad. Handl.</w:t>
      </w:r>
      <w:r>
        <w:t xml:space="preserve"> Afd. 3 </w:t>
      </w:r>
      <w:r w:rsidRPr="00D310E4">
        <w:rPr>
          <w:b/>
        </w:rPr>
        <w:t>27</w:t>
      </w:r>
      <w:r>
        <w:t xml:space="preserve"> (no. 16): 7 (1902). – Type: </w:t>
      </w:r>
      <w:r w:rsidRPr="00D310E4">
        <w:rPr>
          <w:i/>
        </w:rPr>
        <w:t>Taphridium umbelliferarum</w:t>
      </w:r>
      <w:r>
        <w:t xml:space="preserve"> (Rostr.) Lagerh. &amp; Juel 1902 – [Fungi: Ascomycota: Taphrinomycotina: Taphrinomycetes: Taphrin</w:t>
      </w:r>
      <w:r>
        <w:t>o</w:t>
      </w:r>
      <w:r>
        <w:t>mycetidae: Taphrinales: Taphrinomycetes].</w:t>
      </w:r>
    </w:p>
    <w:p w:rsidR="00D310E4" w:rsidRDefault="00D310E4" w:rsidP="00D310E4">
      <w:pPr>
        <w:pStyle w:val="Term"/>
      </w:pPr>
      <w:r w:rsidRPr="00D310E4">
        <w:rPr>
          <w:b/>
        </w:rPr>
        <w:t>Taphrina</w:t>
      </w:r>
      <w:r>
        <w:t xml:space="preserve"> Fr. </w:t>
      </w:r>
      <w:r w:rsidRPr="00D310E4">
        <w:rPr>
          <w:b/>
        </w:rPr>
        <w:t>33</w:t>
      </w:r>
      <w:r>
        <w:t xml:space="preserve">: 1-167 (1815). – Type: </w:t>
      </w:r>
      <w:r w:rsidRPr="00D310E4">
        <w:rPr>
          <w:i/>
        </w:rPr>
        <w:t>Taphrina aurea</w:t>
      </w:r>
      <w:r>
        <w:t xml:space="preserve"> (Pers.) Fr. 1815 </w:t>
      </w:r>
      <w:bookmarkStart w:id="0" w:name="SOS"/>
      <w:bookmarkEnd w:id="0"/>
      <w:r>
        <w:t>– [Fungi: Ascomycota: Taphrinomycotina: Taphrinomycetes: Taphrin</w:t>
      </w:r>
      <w:r>
        <w:t>o</w:t>
      </w:r>
      <w:r>
        <w:t>mycetidae: Taphrinales: Taphrinomycetes].</w:t>
      </w:r>
    </w:p>
    <w:p w:rsidR="00D310E4" w:rsidRDefault="00D310E4" w:rsidP="00D310E4">
      <w:pPr>
        <w:pStyle w:val="Term"/>
      </w:pPr>
      <w:r w:rsidRPr="00D310E4">
        <w:rPr>
          <w:b/>
        </w:rPr>
        <w:t>Volkartia</w:t>
      </w:r>
      <w:r>
        <w:t xml:space="preserve"> Maire, </w:t>
      </w:r>
      <w:r w:rsidRPr="00D310E4">
        <w:rPr>
          <w:i/>
        </w:rPr>
        <w:t>Bull. Soc. bot. Fr.</w:t>
      </w:r>
      <w:r>
        <w:t xml:space="preserve"> </w:t>
      </w:r>
      <w:r w:rsidRPr="00D310E4">
        <w:rPr>
          <w:b/>
        </w:rPr>
        <w:t>54</w:t>
      </w:r>
      <w:r>
        <w:t xml:space="preserve">: CXLV (1907). – Type: </w:t>
      </w:r>
      <w:r w:rsidRPr="00D310E4">
        <w:rPr>
          <w:i/>
        </w:rPr>
        <w:t>Volkartia rhaetica</w:t>
      </w:r>
      <w:r>
        <w:t xml:space="preserve"> (Volkart) Maire 1909 – [Fungi: Ascomycota: Taphrinom</w:t>
      </w:r>
      <w:r>
        <w:t>y</w:t>
      </w:r>
      <w:r>
        <w:t>cotina: Taphrinomycetes: Taphrinomycetidae: Taphrinales: Taphrinomycetes].</w:t>
      </w:r>
    </w:p>
    <w:p w:rsidR="00623A51" w:rsidRPr="000C7C11" w:rsidRDefault="00623A51" w:rsidP="00D310E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E4" w:rsidRDefault="00D310E4">
      <w:r>
        <w:separator/>
      </w:r>
    </w:p>
  </w:endnote>
  <w:endnote w:type="continuationSeparator" w:id="0">
    <w:p w:rsidR="00D310E4" w:rsidRDefault="00D3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E4" w:rsidRDefault="00D310E4">
      <w:r>
        <w:separator/>
      </w:r>
    </w:p>
  </w:footnote>
  <w:footnote w:type="continuationSeparator" w:id="0">
    <w:p w:rsidR="00D310E4" w:rsidRDefault="00D31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C06E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C06E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C06EE"/>
    <w:rsid w:val="008E1953"/>
    <w:rsid w:val="00C24D95"/>
    <w:rsid w:val="00C4162A"/>
    <w:rsid w:val="00CF328D"/>
    <w:rsid w:val="00D310E4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C06E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C06E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C06E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C06EE"/>
    <w:pPr>
      <w:ind w:left="0"/>
    </w:pPr>
  </w:style>
  <w:style w:type="paragraph" w:customStyle="1" w:styleId="Name">
    <w:name w:val="Name"/>
    <w:basedOn w:val="Normal"/>
    <w:rsid w:val="008C06E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C06E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C06E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C06EE"/>
    <w:pPr>
      <w:outlineLvl w:val="4"/>
    </w:pPr>
    <w:rPr>
      <w:sz w:val="20"/>
    </w:rPr>
  </w:style>
  <w:style w:type="paragraph" w:customStyle="1" w:styleId="Data">
    <w:name w:val="Data"/>
    <w:basedOn w:val="Normal"/>
    <w:rsid w:val="008C06E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C06EE"/>
    <w:pPr>
      <w:ind w:left="960"/>
    </w:pPr>
  </w:style>
  <w:style w:type="paragraph" w:styleId="TOC2">
    <w:name w:val="toc 2"/>
    <w:basedOn w:val="Normal"/>
    <w:next w:val="Normal"/>
    <w:autoRedefine/>
    <w:semiHidden/>
    <w:rsid w:val="008C06EE"/>
    <w:pPr>
      <w:ind w:left="160"/>
    </w:pPr>
  </w:style>
  <w:style w:type="paragraph" w:styleId="TOC3">
    <w:name w:val="toc 3"/>
    <w:basedOn w:val="Normal"/>
    <w:next w:val="Normal"/>
    <w:autoRedefine/>
    <w:semiHidden/>
    <w:rsid w:val="008C06EE"/>
    <w:pPr>
      <w:ind w:left="320"/>
    </w:pPr>
  </w:style>
  <w:style w:type="paragraph" w:styleId="TOC4">
    <w:name w:val="toc 4"/>
    <w:basedOn w:val="Normal"/>
    <w:next w:val="Normal"/>
    <w:autoRedefine/>
    <w:semiHidden/>
    <w:rsid w:val="008C06EE"/>
    <w:pPr>
      <w:ind w:left="480"/>
    </w:pPr>
  </w:style>
  <w:style w:type="paragraph" w:styleId="TOC5">
    <w:name w:val="toc 5"/>
    <w:basedOn w:val="Normal"/>
    <w:next w:val="Normal"/>
    <w:autoRedefine/>
    <w:semiHidden/>
    <w:rsid w:val="008C06EE"/>
    <w:pPr>
      <w:ind w:left="640"/>
    </w:pPr>
  </w:style>
  <w:style w:type="paragraph" w:styleId="TOC6">
    <w:name w:val="toc 6"/>
    <w:basedOn w:val="Normal"/>
    <w:next w:val="Normal"/>
    <w:autoRedefine/>
    <w:semiHidden/>
    <w:rsid w:val="008C06EE"/>
    <w:pPr>
      <w:ind w:left="800"/>
    </w:pPr>
  </w:style>
  <w:style w:type="paragraph" w:styleId="TOC8">
    <w:name w:val="toc 8"/>
    <w:basedOn w:val="Normal"/>
    <w:next w:val="Normal"/>
    <w:autoRedefine/>
    <w:semiHidden/>
    <w:rsid w:val="008C06EE"/>
    <w:pPr>
      <w:ind w:left="1120"/>
    </w:pPr>
  </w:style>
  <w:style w:type="paragraph" w:styleId="TOC9">
    <w:name w:val="toc 9"/>
    <w:basedOn w:val="Normal"/>
    <w:next w:val="Normal"/>
    <w:autoRedefine/>
    <w:semiHidden/>
    <w:rsid w:val="008C06EE"/>
    <w:pPr>
      <w:ind w:left="1280"/>
    </w:pPr>
  </w:style>
  <w:style w:type="paragraph" w:styleId="Header">
    <w:name w:val="header"/>
    <w:basedOn w:val="Normal"/>
    <w:rsid w:val="008C06E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C06EE"/>
    <w:pPr>
      <w:ind w:left="0"/>
    </w:pPr>
    <w:rPr>
      <w:sz w:val="28"/>
    </w:rPr>
  </w:style>
  <w:style w:type="paragraph" w:customStyle="1" w:styleId="Family">
    <w:name w:val="Family"/>
    <w:basedOn w:val="Order"/>
    <w:rsid w:val="008C06EE"/>
  </w:style>
  <w:style w:type="paragraph" w:styleId="Footer">
    <w:name w:val="footer"/>
    <w:basedOn w:val="Normal"/>
    <w:rsid w:val="008C06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06EE"/>
  </w:style>
  <w:style w:type="paragraph" w:customStyle="1" w:styleId="Hierarchy">
    <w:name w:val="Hierarchy"/>
    <w:basedOn w:val="Normal"/>
    <w:rsid w:val="008C06EE"/>
    <w:pPr>
      <w:ind w:left="0"/>
    </w:pPr>
  </w:style>
  <w:style w:type="paragraph" w:customStyle="1" w:styleId="Genus">
    <w:name w:val="Genus"/>
    <w:basedOn w:val="Normal"/>
    <w:rsid w:val="008C06E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C06EE"/>
    <w:pPr>
      <w:spacing w:after="120"/>
    </w:pPr>
  </w:style>
  <w:style w:type="paragraph" w:customStyle="1" w:styleId="Synonyms">
    <w:name w:val="Synonyms"/>
    <w:basedOn w:val="Genus"/>
    <w:rsid w:val="008C06E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C06EE"/>
    <w:rPr>
      <w:b/>
    </w:rPr>
  </w:style>
  <w:style w:type="paragraph" w:styleId="Bibliography">
    <w:name w:val="Bibliography"/>
    <w:basedOn w:val="Normal"/>
    <w:rsid w:val="008C06EE"/>
    <w:pPr>
      <w:ind w:hanging="288"/>
    </w:pPr>
    <w:rPr>
      <w:b/>
    </w:rPr>
  </w:style>
  <w:style w:type="paragraph" w:customStyle="1" w:styleId="synonym">
    <w:name w:val="synonym"/>
    <w:basedOn w:val="Data"/>
    <w:rsid w:val="008C06E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C06E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137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2014-01-02T13:29:00Z</dcterms:created>
  <dcterms:modified xsi:type="dcterms:W3CDTF">2014-01-02T13:29:00Z</dcterms:modified>
</cp:coreProperties>
</file>