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94" w:rsidRDefault="00CC5494" w:rsidP="00CC5494">
      <w:pPr>
        <w:pStyle w:val="Term"/>
      </w:pPr>
      <w:r w:rsidRPr="00CC5494">
        <w:rPr>
          <w:b/>
        </w:rPr>
        <w:t>Coccidomyces</w:t>
      </w:r>
      <w:r>
        <w:t xml:space="preserve"> Buchner, </w:t>
      </w:r>
      <w:r w:rsidRPr="00CC5494">
        <w:rPr>
          <w:i/>
        </w:rPr>
        <w:t>Sber. Ges. Morph. Physiol. Munch.</w:t>
      </w:r>
      <w:r>
        <w:t xml:space="preserve"> </w:t>
      </w:r>
      <w:r w:rsidRPr="00CC5494">
        <w:rPr>
          <w:b/>
        </w:rPr>
        <w:t>27</w:t>
      </w:r>
      <w:r>
        <w:t xml:space="preserve">: 90 (1912). – Type: </w:t>
      </w:r>
      <w:r w:rsidRPr="00CC5494">
        <w:rPr>
          <w:i/>
        </w:rPr>
        <w:t>Coccidomyces pierantonii</w:t>
      </w:r>
      <w:r>
        <w:t xml:space="preserve"> Buchner 1912 – [Fungi: Ascomycota: Saccharomycotina: Saccharomycetes: Sacchar</w:t>
      </w:r>
      <w:r>
        <w:t>o</w:t>
      </w:r>
      <w:r>
        <w:t>mycetidae: Incertae sedis: Incertae sedis].</w:t>
      </w:r>
    </w:p>
    <w:p w:rsidR="00CC5494" w:rsidRDefault="00CC5494" w:rsidP="00CC5494">
      <w:pPr>
        <w:pStyle w:val="Term"/>
      </w:pPr>
      <w:r w:rsidRPr="00CC5494">
        <w:rPr>
          <w:b/>
        </w:rPr>
        <w:t>Conidiascus</w:t>
      </w:r>
      <w:r>
        <w:t xml:space="preserve"> Holterm., </w:t>
      </w:r>
      <w:r w:rsidRPr="00CC5494">
        <w:rPr>
          <w:i/>
        </w:rPr>
        <w:t>Mykol. Unters. Tropen</w:t>
      </w:r>
      <w:r>
        <w:t xml:space="preserve">: 23 (1898). – Type: </w:t>
      </w:r>
      <w:r w:rsidRPr="00CC5494">
        <w:rPr>
          <w:i/>
        </w:rPr>
        <w:t>Conidiascus paradoxus</w:t>
      </w:r>
      <w:r>
        <w:t xml:space="preserve"> Holterm. 1898 – [Fungi: Ascomycota: Saccharomycotina: Saccharomycetes: Incertae sedis: Incertae sedis: Incertae sedis].</w:t>
      </w:r>
    </w:p>
    <w:p w:rsidR="00CC5494" w:rsidRDefault="00CC5494" w:rsidP="00CC5494">
      <w:pPr>
        <w:pStyle w:val="Term"/>
      </w:pPr>
      <w:r w:rsidRPr="00CC5494">
        <w:rPr>
          <w:b/>
        </w:rPr>
        <w:t>Oscarbrefeldia</w:t>
      </w:r>
      <w:r>
        <w:t xml:space="preserve"> Holterm., </w:t>
      </w:r>
      <w:r w:rsidRPr="00CC5494">
        <w:rPr>
          <w:i/>
        </w:rPr>
        <w:t>Mykol. Unters. Tropen</w:t>
      </w:r>
      <w:r>
        <w:t xml:space="preserve">: 6 (1898). – Type: </w:t>
      </w:r>
      <w:r w:rsidRPr="00CC5494">
        <w:rPr>
          <w:i/>
        </w:rPr>
        <w:t>Oscarbrefeldia pellucida</w:t>
      </w:r>
      <w:r>
        <w:t xml:space="preserve"> Holterm. 1898 </w:t>
      </w:r>
      <w:bookmarkStart w:id="0" w:name="SOS"/>
      <w:bookmarkEnd w:id="0"/>
      <w:r>
        <w:t>– [Fungi: Ascomycota: Sacchar</w:t>
      </w:r>
      <w:r>
        <w:t>o</w:t>
      </w:r>
      <w:r>
        <w:t>mycotina: Saccharomycetes: Incertae sedis: Ince</w:t>
      </w:r>
      <w:r>
        <w:t>r</w:t>
      </w:r>
      <w:r>
        <w:t>tae sedis: Incertae sedis].</w:t>
      </w:r>
    </w:p>
    <w:p w:rsidR="00CC5494" w:rsidRDefault="00CC5494" w:rsidP="00CC5494">
      <w:pPr>
        <w:pStyle w:val="Term"/>
      </w:pPr>
      <w:r w:rsidRPr="00CC5494">
        <w:rPr>
          <w:b/>
        </w:rPr>
        <w:t>Selenozyma</w:t>
      </w:r>
      <w:r>
        <w:t xml:space="preserve"> Yarrow, </w:t>
      </w:r>
      <w:r w:rsidRPr="00CC5494">
        <w:rPr>
          <w:i/>
        </w:rPr>
        <w:t>Stud. Mycol.</w:t>
      </w:r>
      <w:r>
        <w:t xml:space="preserve"> </w:t>
      </w:r>
      <w:r w:rsidRPr="00CC5494">
        <w:rPr>
          <w:b/>
        </w:rPr>
        <w:t>14</w:t>
      </w:r>
      <w:r>
        <w:t xml:space="preserve">: 29 (1977). – Type: </w:t>
      </w:r>
      <w:r w:rsidRPr="00CC5494">
        <w:rPr>
          <w:i/>
        </w:rPr>
        <w:t>Selenozyma intestinalis</w:t>
      </w:r>
      <w:r>
        <w:t xml:space="preserve"> (Krassiln.) Yarrow 1977 – [Fungi: Ascomycota: Saccharomycotina: Saccharomycetes: Incertae sedis: Incertae sedis: Incertae sedis].</w:t>
      </w:r>
    </w:p>
    <w:p w:rsidR="00623A51" w:rsidRPr="000C7C11" w:rsidRDefault="00623A51" w:rsidP="00CC5494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494" w:rsidRDefault="00CC5494">
      <w:r>
        <w:separator/>
      </w:r>
    </w:p>
  </w:endnote>
  <w:endnote w:type="continuationSeparator" w:id="0">
    <w:p w:rsidR="00CC5494" w:rsidRDefault="00CC5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494" w:rsidRDefault="00CC5494">
      <w:r>
        <w:separator/>
      </w:r>
    </w:p>
  </w:footnote>
  <w:footnote w:type="continuationSeparator" w:id="0">
    <w:p w:rsidR="00CC5494" w:rsidRDefault="00CC5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DB4978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DB4978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C5494"/>
    <w:rsid w:val="00CF328D"/>
    <w:rsid w:val="00D8207C"/>
    <w:rsid w:val="00DB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DB4978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DB4978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DB4978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DB4978"/>
    <w:pPr>
      <w:ind w:left="0"/>
    </w:pPr>
  </w:style>
  <w:style w:type="paragraph" w:customStyle="1" w:styleId="Name">
    <w:name w:val="Name"/>
    <w:basedOn w:val="Normal"/>
    <w:rsid w:val="00DB4978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DB4978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DB4978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DB4978"/>
    <w:pPr>
      <w:outlineLvl w:val="4"/>
    </w:pPr>
    <w:rPr>
      <w:sz w:val="20"/>
    </w:rPr>
  </w:style>
  <w:style w:type="paragraph" w:customStyle="1" w:styleId="Data">
    <w:name w:val="Data"/>
    <w:basedOn w:val="Normal"/>
    <w:rsid w:val="00DB4978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DB4978"/>
    <w:pPr>
      <w:ind w:left="960"/>
    </w:pPr>
  </w:style>
  <w:style w:type="paragraph" w:styleId="TOC2">
    <w:name w:val="toc 2"/>
    <w:basedOn w:val="Normal"/>
    <w:next w:val="Normal"/>
    <w:autoRedefine/>
    <w:semiHidden/>
    <w:rsid w:val="00DB4978"/>
    <w:pPr>
      <w:ind w:left="160"/>
    </w:pPr>
  </w:style>
  <w:style w:type="paragraph" w:styleId="TOC3">
    <w:name w:val="toc 3"/>
    <w:basedOn w:val="Normal"/>
    <w:next w:val="Normal"/>
    <w:autoRedefine/>
    <w:semiHidden/>
    <w:rsid w:val="00DB4978"/>
    <w:pPr>
      <w:ind w:left="320"/>
    </w:pPr>
  </w:style>
  <w:style w:type="paragraph" w:styleId="TOC4">
    <w:name w:val="toc 4"/>
    <w:basedOn w:val="Normal"/>
    <w:next w:val="Normal"/>
    <w:autoRedefine/>
    <w:semiHidden/>
    <w:rsid w:val="00DB4978"/>
    <w:pPr>
      <w:ind w:left="480"/>
    </w:pPr>
  </w:style>
  <w:style w:type="paragraph" w:styleId="TOC5">
    <w:name w:val="toc 5"/>
    <w:basedOn w:val="Normal"/>
    <w:next w:val="Normal"/>
    <w:autoRedefine/>
    <w:semiHidden/>
    <w:rsid w:val="00DB4978"/>
    <w:pPr>
      <w:ind w:left="640"/>
    </w:pPr>
  </w:style>
  <w:style w:type="paragraph" w:styleId="TOC6">
    <w:name w:val="toc 6"/>
    <w:basedOn w:val="Normal"/>
    <w:next w:val="Normal"/>
    <w:autoRedefine/>
    <w:semiHidden/>
    <w:rsid w:val="00DB4978"/>
    <w:pPr>
      <w:ind w:left="800"/>
    </w:pPr>
  </w:style>
  <w:style w:type="paragraph" w:styleId="TOC8">
    <w:name w:val="toc 8"/>
    <w:basedOn w:val="Normal"/>
    <w:next w:val="Normal"/>
    <w:autoRedefine/>
    <w:semiHidden/>
    <w:rsid w:val="00DB4978"/>
    <w:pPr>
      <w:ind w:left="1120"/>
    </w:pPr>
  </w:style>
  <w:style w:type="paragraph" w:styleId="TOC9">
    <w:name w:val="toc 9"/>
    <w:basedOn w:val="Normal"/>
    <w:next w:val="Normal"/>
    <w:autoRedefine/>
    <w:semiHidden/>
    <w:rsid w:val="00DB4978"/>
    <w:pPr>
      <w:ind w:left="1280"/>
    </w:pPr>
  </w:style>
  <w:style w:type="paragraph" w:styleId="Header">
    <w:name w:val="header"/>
    <w:basedOn w:val="Normal"/>
    <w:rsid w:val="00DB4978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DB4978"/>
    <w:pPr>
      <w:ind w:left="0"/>
    </w:pPr>
    <w:rPr>
      <w:sz w:val="28"/>
    </w:rPr>
  </w:style>
  <w:style w:type="paragraph" w:customStyle="1" w:styleId="Family">
    <w:name w:val="Family"/>
    <w:basedOn w:val="Order"/>
    <w:rsid w:val="00DB4978"/>
  </w:style>
  <w:style w:type="paragraph" w:styleId="Footer">
    <w:name w:val="footer"/>
    <w:basedOn w:val="Normal"/>
    <w:rsid w:val="00DB49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B4978"/>
  </w:style>
  <w:style w:type="paragraph" w:customStyle="1" w:styleId="Hierarchy">
    <w:name w:val="Hierarchy"/>
    <w:basedOn w:val="Normal"/>
    <w:rsid w:val="00DB4978"/>
    <w:pPr>
      <w:ind w:left="0"/>
    </w:pPr>
  </w:style>
  <w:style w:type="paragraph" w:customStyle="1" w:styleId="Genus">
    <w:name w:val="Genus"/>
    <w:basedOn w:val="Normal"/>
    <w:rsid w:val="00DB4978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DB4978"/>
    <w:pPr>
      <w:spacing w:after="120"/>
    </w:pPr>
  </w:style>
  <w:style w:type="paragraph" w:customStyle="1" w:styleId="Synonyms">
    <w:name w:val="Synonyms"/>
    <w:basedOn w:val="Genus"/>
    <w:rsid w:val="00DB4978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DB4978"/>
    <w:rPr>
      <w:b/>
    </w:rPr>
  </w:style>
  <w:style w:type="paragraph" w:styleId="Bibliography">
    <w:name w:val="Bibliography"/>
    <w:basedOn w:val="Normal"/>
    <w:rsid w:val="00DB4978"/>
    <w:pPr>
      <w:ind w:hanging="288"/>
    </w:pPr>
    <w:rPr>
      <w:b/>
    </w:rPr>
  </w:style>
  <w:style w:type="paragraph" w:customStyle="1" w:styleId="synonym">
    <w:name w:val="synonym"/>
    <w:basedOn w:val="Data"/>
    <w:rsid w:val="00DB4978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DB497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91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2014-01-02T14:00:00Z</dcterms:created>
  <dcterms:modified xsi:type="dcterms:W3CDTF">2014-01-02T14:00:00Z</dcterms:modified>
</cp:coreProperties>
</file>