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CD" w:rsidRDefault="009E07CD" w:rsidP="009E07CD">
      <w:pPr>
        <w:pStyle w:val="Term"/>
      </w:pPr>
      <w:r w:rsidRPr="009E07CD">
        <w:rPr>
          <w:b/>
        </w:rPr>
        <w:t>Aqualinderella</w:t>
      </w:r>
      <w:r>
        <w:t xml:space="preserve"> R. Emers. &amp; W. Weston, </w:t>
      </w:r>
      <w:r w:rsidRPr="009E07CD">
        <w:rPr>
          <w:i/>
        </w:rPr>
        <w:t>Am. J. Bot.</w:t>
      </w:r>
      <w:r>
        <w:t xml:space="preserve"> </w:t>
      </w:r>
      <w:r w:rsidRPr="009E07CD">
        <w:rPr>
          <w:b/>
        </w:rPr>
        <w:t>54</w:t>
      </w:r>
      <w:r>
        <w:t xml:space="preserve">: 715 (1967). – Type: </w:t>
      </w:r>
      <w:r w:rsidRPr="009E07CD">
        <w:rPr>
          <w:i/>
        </w:rPr>
        <w:t>Aqualinderella fe</w:t>
      </w:r>
      <w:r w:rsidRPr="009E07CD">
        <w:rPr>
          <w:i/>
        </w:rPr>
        <w:t>r</w:t>
      </w:r>
      <w:r w:rsidRPr="009E07CD">
        <w:rPr>
          <w:i/>
        </w:rPr>
        <w:t>mentans</w:t>
      </w:r>
      <w:r>
        <w:t xml:space="preserve"> R. Emers. &amp; W. Weston 1967 – [Chromista: Oomycota: Incertae sedis: Peron</w:t>
      </w:r>
      <w:r>
        <w:t>o</w:t>
      </w:r>
      <w:r>
        <w:t>sporea: Peronosporidae: Rhipidiales: Rhipid</w:t>
      </w:r>
      <w:r>
        <w:t>i</w:t>
      </w:r>
      <w:r>
        <w:t>aceae].</w:t>
      </w:r>
    </w:p>
    <w:p w:rsidR="009E07CD" w:rsidRDefault="009E07CD" w:rsidP="009E07CD">
      <w:pPr>
        <w:pStyle w:val="Term"/>
      </w:pPr>
      <w:r w:rsidRPr="009E07CD">
        <w:rPr>
          <w:b/>
        </w:rPr>
        <w:t>Araiospora</w:t>
      </w:r>
      <w:r>
        <w:t xml:space="preserve"> Thaxt., </w:t>
      </w:r>
      <w:r w:rsidRPr="009E07CD">
        <w:rPr>
          <w:i/>
        </w:rPr>
        <w:t>Bot. Gaz.</w:t>
      </w:r>
      <w:r>
        <w:t xml:space="preserve"> </w:t>
      </w:r>
      <w:r w:rsidRPr="009E07CD">
        <w:rPr>
          <w:b/>
        </w:rPr>
        <w:t>21</w:t>
      </w:r>
      <w:r>
        <w:t xml:space="preserve">: 326 (1896). – Type: </w:t>
      </w:r>
      <w:r w:rsidRPr="009E07CD">
        <w:rPr>
          <w:i/>
        </w:rPr>
        <w:t>Araiospora pulchra</w:t>
      </w:r>
      <w:r>
        <w:t xml:space="preserve"> Thaxt. 1896 – [Chromista: Oomycota: Incertae sedis: Peron</w:t>
      </w:r>
      <w:r>
        <w:t>o</w:t>
      </w:r>
      <w:r>
        <w:t>sporea: Peronosporidae: Rhipidiales: Rhipid</w:t>
      </w:r>
      <w:r>
        <w:t>i</w:t>
      </w:r>
      <w:r>
        <w:t>aceae].</w:t>
      </w:r>
    </w:p>
    <w:p w:rsidR="009E07CD" w:rsidRDefault="009E07CD" w:rsidP="009E07CD">
      <w:pPr>
        <w:pStyle w:val="Term"/>
      </w:pPr>
      <w:r w:rsidRPr="009E07CD">
        <w:rPr>
          <w:b/>
        </w:rPr>
        <w:t>Mindeniella</w:t>
      </w:r>
      <w:r>
        <w:t xml:space="preserve"> Kanouse, </w:t>
      </w:r>
      <w:r w:rsidRPr="009E07CD">
        <w:rPr>
          <w:i/>
        </w:rPr>
        <w:t>Am. J. Bot.</w:t>
      </w:r>
      <w:r>
        <w:t xml:space="preserve"> </w:t>
      </w:r>
      <w:r w:rsidRPr="009E07CD">
        <w:rPr>
          <w:b/>
        </w:rPr>
        <w:t>14</w:t>
      </w:r>
      <w:r>
        <w:t xml:space="preserve">: 301 (1927). – Type: </w:t>
      </w:r>
      <w:r w:rsidRPr="009E07CD">
        <w:rPr>
          <w:i/>
        </w:rPr>
        <w:t>Mindeniella spinospora</w:t>
      </w:r>
      <w:r>
        <w:t xml:space="preserve"> Kanouse 1927 – [Chromista: Oomycota: Incertae sedis: Peron</w:t>
      </w:r>
      <w:r>
        <w:t>o</w:t>
      </w:r>
      <w:r>
        <w:t>sporea: Peronosporidae: Rhipidiales: Rhipid</w:t>
      </w:r>
      <w:r>
        <w:t>i</w:t>
      </w:r>
      <w:r>
        <w:t>aceae].</w:t>
      </w:r>
    </w:p>
    <w:p w:rsidR="009E07CD" w:rsidRDefault="009E07CD" w:rsidP="009E07CD">
      <w:pPr>
        <w:pStyle w:val="Term"/>
      </w:pPr>
      <w:r w:rsidRPr="009E07CD">
        <w:rPr>
          <w:b/>
        </w:rPr>
        <w:t>Nellymyces</w:t>
      </w:r>
      <w:r>
        <w:t xml:space="preserve"> A. Batko, </w:t>
      </w:r>
      <w:r w:rsidRPr="009E07CD">
        <w:rPr>
          <w:i/>
        </w:rPr>
        <w:t>Acta Mycologica</w:t>
      </w:r>
      <w:r>
        <w:t xml:space="preserve"> Warszawa </w:t>
      </w:r>
      <w:r w:rsidRPr="009E07CD">
        <w:rPr>
          <w:b/>
        </w:rPr>
        <w:t>7</w:t>
      </w:r>
      <w:r>
        <w:t xml:space="preserve"> (2): 254 (1972) [‘1971’]. – Type: </w:t>
      </w:r>
      <w:r w:rsidRPr="009E07CD">
        <w:rPr>
          <w:i/>
        </w:rPr>
        <w:t>Nellymyces megaceros</w:t>
      </w:r>
      <w:r>
        <w:t xml:space="preserve"> A. Batko 1972 – [Chromista: Oom</w:t>
      </w:r>
      <w:r>
        <w:t>y</w:t>
      </w:r>
      <w:r>
        <w:t>cota: Incertae sedis: Peronosporea: Peronospor</w:t>
      </w:r>
      <w:r>
        <w:t>i</w:t>
      </w:r>
      <w:r>
        <w:t>dae: Rhipidiales: Rhipidiaceae].</w:t>
      </w:r>
    </w:p>
    <w:p w:rsidR="009E07CD" w:rsidRDefault="009E07CD" w:rsidP="009E07CD">
      <w:pPr>
        <w:pStyle w:val="Term"/>
      </w:pPr>
      <w:r w:rsidRPr="009E07CD">
        <w:rPr>
          <w:b/>
        </w:rPr>
        <w:t>Rhipidium</w:t>
      </w:r>
      <w:r>
        <w:t xml:space="preserve"> Cornu, </w:t>
      </w:r>
      <w:r w:rsidRPr="009E07CD">
        <w:rPr>
          <w:i/>
        </w:rPr>
        <w:t>Bull. Soc. bot. Fr.</w:t>
      </w:r>
      <w:r>
        <w:t xml:space="preserve"> </w:t>
      </w:r>
      <w:r w:rsidRPr="009E07CD">
        <w:rPr>
          <w:b/>
        </w:rPr>
        <w:t>18</w:t>
      </w:r>
      <w:r>
        <w:t xml:space="preserve">: 58 (1871). – Type: </w:t>
      </w:r>
      <w:r w:rsidRPr="009E07CD">
        <w:rPr>
          <w:i/>
        </w:rPr>
        <w:t>Rhipidium interruptum</w:t>
      </w:r>
      <w:r>
        <w:t xml:space="preserve"> Cornu 1871 </w:t>
      </w:r>
      <w:bookmarkStart w:id="0" w:name="SOS"/>
      <w:bookmarkEnd w:id="0"/>
      <w:r>
        <w:t>– [Chromista: Oomycota: Incertae sedis: Peron</w:t>
      </w:r>
      <w:r>
        <w:t>o</w:t>
      </w:r>
      <w:r>
        <w:t>sporea: Peronosporidae: Rhipidiales: Rhipid</w:t>
      </w:r>
      <w:r>
        <w:t>i</w:t>
      </w:r>
      <w:r>
        <w:t>aceae].</w:t>
      </w:r>
    </w:p>
    <w:p w:rsidR="009E07CD" w:rsidRDefault="009E07CD" w:rsidP="009E07CD">
      <w:pPr>
        <w:pStyle w:val="Term"/>
      </w:pPr>
      <w:r w:rsidRPr="009E07CD">
        <w:rPr>
          <w:b/>
        </w:rPr>
        <w:t>Sapromyces</w:t>
      </w:r>
      <w:r>
        <w:t xml:space="preserve"> Fritsch, </w:t>
      </w:r>
      <w:r w:rsidRPr="009E07CD">
        <w:rPr>
          <w:i/>
        </w:rPr>
        <w:t>Öst. bot. Z.</w:t>
      </w:r>
      <w:r>
        <w:t xml:space="preserve"> </w:t>
      </w:r>
      <w:r w:rsidRPr="009E07CD">
        <w:rPr>
          <w:b/>
        </w:rPr>
        <w:t>43</w:t>
      </w:r>
      <w:r>
        <w:t xml:space="preserve">: 420 (1893). – Type: </w:t>
      </w:r>
      <w:r w:rsidRPr="009E07CD">
        <w:rPr>
          <w:i/>
        </w:rPr>
        <w:t>Naegeliella reinschii</w:t>
      </w:r>
      <w:r>
        <w:t xml:space="preserve"> J. Schröt. 1894 – [Chromista: Oomycota: Incertae sedis: Peron</w:t>
      </w:r>
      <w:r>
        <w:t>o</w:t>
      </w:r>
      <w:r>
        <w:t>sporea: Peronosporidae: Rhipidiales: Rhipid</w:t>
      </w:r>
      <w:r>
        <w:t>i</w:t>
      </w:r>
      <w:r>
        <w:t>aceae].</w:t>
      </w:r>
    </w:p>
    <w:p w:rsidR="00623A51" w:rsidRPr="000C7C11" w:rsidRDefault="00623A51" w:rsidP="009E07C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CD" w:rsidRDefault="009E07CD">
      <w:r>
        <w:separator/>
      </w:r>
    </w:p>
  </w:endnote>
  <w:endnote w:type="continuationSeparator" w:id="0">
    <w:p w:rsidR="009E07CD" w:rsidRDefault="009E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CD" w:rsidRDefault="009E07CD">
      <w:r>
        <w:separator/>
      </w:r>
    </w:p>
  </w:footnote>
  <w:footnote w:type="continuationSeparator" w:id="0">
    <w:p w:rsidR="009E07CD" w:rsidRDefault="009E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30C2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30C2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E07CD"/>
    <w:rsid w:val="00C24D95"/>
    <w:rsid w:val="00C4162A"/>
    <w:rsid w:val="00CF328D"/>
    <w:rsid w:val="00D8207C"/>
    <w:rsid w:val="00E3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E30C2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E30C2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30C2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30C2B"/>
    <w:pPr>
      <w:ind w:left="0"/>
    </w:pPr>
  </w:style>
  <w:style w:type="paragraph" w:customStyle="1" w:styleId="Name">
    <w:name w:val="Name"/>
    <w:basedOn w:val="Normal"/>
    <w:rsid w:val="00E30C2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E30C2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E30C2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E30C2B"/>
    <w:pPr>
      <w:outlineLvl w:val="4"/>
    </w:pPr>
    <w:rPr>
      <w:sz w:val="20"/>
    </w:rPr>
  </w:style>
  <w:style w:type="paragraph" w:customStyle="1" w:styleId="Data">
    <w:name w:val="Data"/>
    <w:basedOn w:val="Normal"/>
    <w:rsid w:val="00E30C2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E30C2B"/>
    <w:pPr>
      <w:ind w:left="960"/>
    </w:pPr>
  </w:style>
  <w:style w:type="paragraph" w:styleId="TOC2">
    <w:name w:val="toc 2"/>
    <w:basedOn w:val="Normal"/>
    <w:next w:val="Normal"/>
    <w:autoRedefine/>
    <w:semiHidden/>
    <w:rsid w:val="00E30C2B"/>
    <w:pPr>
      <w:ind w:left="160"/>
    </w:pPr>
  </w:style>
  <w:style w:type="paragraph" w:styleId="TOC3">
    <w:name w:val="toc 3"/>
    <w:basedOn w:val="Normal"/>
    <w:next w:val="Normal"/>
    <w:autoRedefine/>
    <w:semiHidden/>
    <w:rsid w:val="00E30C2B"/>
    <w:pPr>
      <w:ind w:left="320"/>
    </w:pPr>
  </w:style>
  <w:style w:type="paragraph" w:styleId="TOC4">
    <w:name w:val="toc 4"/>
    <w:basedOn w:val="Normal"/>
    <w:next w:val="Normal"/>
    <w:autoRedefine/>
    <w:semiHidden/>
    <w:rsid w:val="00E30C2B"/>
    <w:pPr>
      <w:ind w:left="480"/>
    </w:pPr>
  </w:style>
  <w:style w:type="paragraph" w:styleId="TOC5">
    <w:name w:val="toc 5"/>
    <w:basedOn w:val="Normal"/>
    <w:next w:val="Normal"/>
    <w:autoRedefine/>
    <w:semiHidden/>
    <w:rsid w:val="00E30C2B"/>
    <w:pPr>
      <w:ind w:left="640"/>
    </w:pPr>
  </w:style>
  <w:style w:type="paragraph" w:styleId="TOC6">
    <w:name w:val="toc 6"/>
    <w:basedOn w:val="Normal"/>
    <w:next w:val="Normal"/>
    <w:autoRedefine/>
    <w:semiHidden/>
    <w:rsid w:val="00E30C2B"/>
    <w:pPr>
      <w:ind w:left="800"/>
    </w:pPr>
  </w:style>
  <w:style w:type="paragraph" w:styleId="TOC8">
    <w:name w:val="toc 8"/>
    <w:basedOn w:val="Normal"/>
    <w:next w:val="Normal"/>
    <w:autoRedefine/>
    <w:semiHidden/>
    <w:rsid w:val="00E30C2B"/>
    <w:pPr>
      <w:ind w:left="1120"/>
    </w:pPr>
  </w:style>
  <w:style w:type="paragraph" w:styleId="TOC9">
    <w:name w:val="toc 9"/>
    <w:basedOn w:val="Normal"/>
    <w:next w:val="Normal"/>
    <w:autoRedefine/>
    <w:semiHidden/>
    <w:rsid w:val="00E30C2B"/>
    <w:pPr>
      <w:ind w:left="1280"/>
    </w:pPr>
  </w:style>
  <w:style w:type="paragraph" w:styleId="Header">
    <w:name w:val="header"/>
    <w:basedOn w:val="Normal"/>
    <w:rsid w:val="00E30C2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E30C2B"/>
    <w:pPr>
      <w:ind w:left="0"/>
    </w:pPr>
    <w:rPr>
      <w:sz w:val="28"/>
    </w:rPr>
  </w:style>
  <w:style w:type="paragraph" w:customStyle="1" w:styleId="Family">
    <w:name w:val="Family"/>
    <w:basedOn w:val="Order"/>
    <w:rsid w:val="00E30C2B"/>
  </w:style>
  <w:style w:type="paragraph" w:styleId="Footer">
    <w:name w:val="footer"/>
    <w:basedOn w:val="Normal"/>
    <w:rsid w:val="00E30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0C2B"/>
  </w:style>
  <w:style w:type="paragraph" w:customStyle="1" w:styleId="Hierarchy">
    <w:name w:val="Hierarchy"/>
    <w:basedOn w:val="Normal"/>
    <w:rsid w:val="00E30C2B"/>
    <w:pPr>
      <w:ind w:left="0"/>
    </w:pPr>
  </w:style>
  <w:style w:type="paragraph" w:customStyle="1" w:styleId="Genus">
    <w:name w:val="Genus"/>
    <w:basedOn w:val="Normal"/>
    <w:rsid w:val="00E30C2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E30C2B"/>
    <w:pPr>
      <w:spacing w:after="120"/>
    </w:pPr>
  </w:style>
  <w:style w:type="paragraph" w:customStyle="1" w:styleId="Synonyms">
    <w:name w:val="Synonyms"/>
    <w:basedOn w:val="Genus"/>
    <w:rsid w:val="00E30C2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E30C2B"/>
    <w:rPr>
      <w:b/>
    </w:rPr>
  </w:style>
  <w:style w:type="paragraph" w:styleId="Bibliography">
    <w:name w:val="Bibliography"/>
    <w:basedOn w:val="Normal"/>
    <w:rsid w:val="00E30C2B"/>
    <w:pPr>
      <w:ind w:hanging="288"/>
    </w:pPr>
    <w:rPr>
      <w:b/>
    </w:rPr>
  </w:style>
  <w:style w:type="paragraph" w:customStyle="1" w:styleId="synonym">
    <w:name w:val="synonym"/>
    <w:basedOn w:val="Data"/>
    <w:rsid w:val="00E30C2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E30C2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139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2014-01-02T13:24:00Z</dcterms:created>
  <dcterms:modified xsi:type="dcterms:W3CDTF">2014-01-02T13:24:00Z</dcterms:modified>
</cp:coreProperties>
</file>