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FA" w:rsidRDefault="000F6AFA" w:rsidP="000F6AFA">
      <w:pPr>
        <w:pStyle w:val="Term"/>
      </w:pPr>
      <w:r w:rsidRPr="000F6AFA">
        <w:rPr>
          <w:b/>
        </w:rPr>
        <w:t>Calacogloea</w:t>
      </w:r>
      <w:r>
        <w:t xml:space="preserve"> Oberw. &amp; Bandoni, </w:t>
      </w:r>
      <w:r w:rsidRPr="000F6AFA">
        <w:rPr>
          <w:i/>
        </w:rPr>
        <w:t>Can. J. Bot.</w:t>
      </w:r>
      <w:r>
        <w:t xml:space="preserve"> </w:t>
      </w:r>
      <w:r w:rsidRPr="000F6AFA">
        <w:rPr>
          <w:b/>
        </w:rPr>
        <w:t>68</w:t>
      </w:r>
      <w:r>
        <w:t xml:space="preserve"> (12): 2532 (1991) [‘1990’]. – Type: </w:t>
      </w:r>
      <w:r w:rsidRPr="000F6AFA">
        <w:rPr>
          <w:i/>
        </w:rPr>
        <w:t>Calacogloea peniophorae</w:t>
      </w:r>
      <w:r>
        <w:t xml:space="preserve"> Oberw. &amp; Bandoni 1991 – [Fungi: Basidiomycota: Pucciniomycotina: Pucciniom</w:t>
      </w:r>
      <w:r>
        <w:t>y</w:t>
      </w:r>
      <w:r>
        <w:t>cetes: Incertae sedis: Platygloeales: Plat</w:t>
      </w:r>
      <w:r>
        <w:t>y</w:t>
      </w:r>
      <w:r>
        <w:t>gloeaceae].</w:t>
      </w:r>
    </w:p>
    <w:p w:rsidR="000F6AFA" w:rsidRDefault="000F6AFA" w:rsidP="000F6AFA">
      <w:pPr>
        <w:pStyle w:val="Term"/>
      </w:pPr>
      <w:r w:rsidRPr="000F6AFA">
        <w:rPr>
          <w:b/>
        </w:rPr>
        <w:t>Eocronartium</w:t>
      </w:r>
      <w:r>
        <w:t xml:space="preserve"> G.F. Atk., </w:t>
      </w:r>
      <w:r w:rsidRPr="000F6AFA">
        <w:rPr>
          <w:i/>
        </w:rPr>
        <w:t>J. Mycol.</w:t>
      </w:r>
      <w:r>
        <w:t xml:space="preserve"> </w:t>
      </w:r>
      <w:r w:rsidRPr="000F6AFA">
        <w:rPr>
          <w:b/>
        </w:rPr>
        <w:t>8</w:t>
      </w:r>
      <w:r>
        <w:t xml:space="preserve"> (3): 107 (1902). – Type: </w:t>
      </w:r>
      <w:r w:rsidRPr="000F6AFA">
        <w:rPr>
          <w:i/>
        </w:rPr>
        <w:t>Eocronartium typhuloides</w:t>
      </w:r>
      <w:r>
        <w:t xml:space="preserve"> G.F. Atk. 1902 – [Fungi: Basidiomycota: Pucciniom</w:t>
      </w:r>
      <w:r>
        <w:t>y</w:t>
      </w:r>
      <w:r>
        <w:t>cotina: Pucciniomycetes: Incertae sedis: Plat</w:t>
      </w:r>
      <w:r>
        <w:t>y</w:t>
      </w:r>
      <w:r>
        <w:t>gloeales: Eocronartiaceae].</w:t>
      </w:r>
    </w:p>
    <w:p w:rsidR="000F6AFA" w:rsidRDefault="000F6AFA" w:rsidP="000F6AFA">
      <w:pPr>
        <w:pStyle w:val="Term"/>
      </w:pPr>
      <w:r w:rsidRPr="000F6AFA">
        <w:rPr>
          <w:b/>
        </w:rPr>
        <w:t>Glomopsis</w:t>
      </w:r>
      <w:r>
        <w:t xml:space="preserve"> D.M. Hend., </w:t>
      </w:r>
      <w:r w:rsidRPr="000F6AFA">
        <w:rPr>
          <w:i/>
        </w:rPr>
        <w:t>Notes R. bot. Gdn Edinb.</w:t>
      </w:r>
      <w:r>
        <w:t xml:space="preserve"> </w:t>
      </w:r>
      <w:r w:rsidRPr="000F6AFA">
        <w:rPr>
          <w:b/>
        </w:rPr>
        <w:t>23</w:t>
      </w:r>
      <w:r>
        <w:t xml:space="preserve"> (4): 500 (1961). – Type: </w:t>
      </w:r>
      <w:r w:rsidRPr="000F6AFA">
        <w:rPr>
          <w:i/>
        </w:rPr>
        <w:t>Glomopsis corni</w:t>
      </w:r>
      <w:r>
        <w:t xml:space="preserve"> (Peck) D.M. Hend. 1961 – [Fungi: Basidiom</w:t>
      </w:r>
      <w:r>
        <w:t>y</w:t>
      </w:r>
      <w:r>
        <w:t>cota: Pucciniomycotina: Pucciniomycetes: Ince</w:t>
      </w:r>
      <w:r>
        <w:t>r</w:t>
      </w:r>
      <w:r>
        <w:t>tae sedis: Platygloeales: Platygloeaceae].</w:t>
      </w:r>
    </w:p>
    <w:p w:rsidR="000F6AFA" w:rsidRDefault="000F6AFA" w:rsidP="000F6AFA">
      <w:pPr>
        <w:pStyle w:val="Term"/>
      </w:pPr>
      <w:r w:rsidRPr="000F6AFA">
        <w:rPr>
          <w:b/>
        </w:rPr>
        <w:t>Herpobasidium</w:t>
      </w:r>
      <w:r>
        <w:t xml:space="preserve"> Lind, </w:t>
      </w:r>
      <w:r w:rsidRPr="000F6AFA">
        <w:rPr>
          <w:i/>
        </w:rPr>
        <w:t>Ark. Bot.</w:t>
      </w:r>
      <w:r>
        <w:t xml:space="preserve"> </w:t>
      </w:r>
      <w:r w:rsidRPr="000F6AFA">
        <w:rPr>
          <w:b/>
        </w:rPr>
        <w:t>7</w:t>
      </w:r>
      <w:r>
        <w:t xml:space="preserve"> (no. 8): 5 (1908). – Type: </w:t>
      </w:r>
      <w:r w:rsidRPr="000F6AFA">
        <w:rPr>
          <w:i/>
        </w:rPr>
        <w:t>Herpobasidium filicinum</w:t>
      </w:r>
      <w:r>
        <w:t xml:space="preserve"> (Rostr.) Lind 1908 – [Fungi: Basidiomycota: Pucciniomycotina: Pucciniomycetes: Incertae sedis: Platygloeales: Eocronartiaceae].</w:t>
      </w:r>
    </w:p>
    <w:p w:rsidR="000F6AFA" w:rsidRDefault="000F6AFA" w:rsidP="000F6AFA">
      <w:pPr>
        <w:pStyle w:val="Term"/>
      </w:pPr>
      <w:r w:rsidRPr="000F6AFA">
        <w:rPr>
          <w:b/>
        </w:rPr>
        <w:t>Insolibasidium</w:t>
      </w:r>
      <w:r>
        <w:t xml:space="preserve"> Oberw. &amp; Bandoni, </w:t>
      </w:r>
      <w:r w:rsidRPr="000F6AFA">
        <w:rPr>
          <w:i/>
        </w:rPr>
        <w:t>Trans. Br. mycol. Soc.</w:t>
      </w:r>
      <w:r>
        <w:t xml:space="preserve"> </w:t>
      </w:r>
      <w:r w:rsidRPr="000F6AFA">
        <w:rPr>
          <w:b/>
        </w:rPr>
        <w:t>83</w:t>
      </w:r>
      <w:r>
        <w:t xml:space="preserve"> (4): 651 (1984). – Type: </w:t>
      </w:r>
      <w:r w:rsidRPr="000F6AFA">
        <w:rPr>
          <w:i/>
        </w:rPr>
        <w:t>Insol</w:t>
      </w:r>
      <w:r w:rsidRPr="000F6AFA">
        <w:rPr>
          <w:i/>
        </w:rPr>
        <w:t>i</w:t>
      </w:r>
      <w:r w:rsidRPr="000F6AFA">
        <w:rPr>
          <w:i/>
        </w:rPr>
        <w:t>basidium deformans</w:t>
      </w:r>
      <w:r>
        <w:t xml:space="preserve"> (C.J. Gould) Oberw. &amp; Ba</w:t>
      </w:r>
      <w:r>
        <w:t>n</w:t>
      </w:r>
      <w:r>
        <w:t>doni 1984 – [Fungi: Basidiomycota: Pucciniom</w:t>
      </w:r>
      <w:r>
        <w:t>y</w:t>
      </w:r>
      <w:r>
        <w:t>cotina: Pucciniomycetes: Incertae sedis: Plat</w:t>
      </w:r>
      <w:r>
        <w:t>y</w:t>
      </w:r>
      <w:r>
        <w:t>gloeales: Platygloeaceae].</w:t>
      </w:r>
    </w:p>
    <w:p w:rsidR="000F6AFA" w:rsidRDefault="000F6AFA" w:rsidP="000F6AFA">
      <w:pPr>
        <w:pStyle w:val="Term"/>
      </w:pPr>
      <w:r w:rsidRPr="000F6AFA">
        <w:rPr>
          <w:b/>
        </w:rPr>
        <w:t>Jola</w:t>
      </w:r>
      <w:r>
        <w:t xml:space="preserve"> Möller, </w:t>
      </w:r>
      <w:r w:rsidRPr="000F6AFA">
        <w:rPr>
          <w:i/>
        </w:rPr>
        <w:t>Bot. Mitt. Trop.</w:t>
      </w:r>
      <w:r>
        <w:t xml:space="preserve"> </w:t>
      </w:r>
      <w:r w:rsidRPr="000F6AFA">
        <w:rPr>
          <w:b/>
        </w:rPr>
        <w:t>8</w:t>
      </w:r>
      <w:r>
        <w:t xml:space="preserve">: 22, 162 (1895). – Type: </w:t>
      </w:r>
      <w:r w:rsidRPr="000F6AFA">
        <w:rPr>
          <w:i/>
        </w:rPr>
        <w:t>Jola hookeriarum</w:t>
      </w:r>
      <w:r>
        <w:t xml:space="preserve"> Möller 1895 – [Fungi: Basidiomycota: Pucciniomycotina: Pucciniom</w:t>
      </w:r>
      <w:r>
        <w:t>y</w:t>
      </w:r>
      <w:r>
        <w:t>cetes: Incertae sedis: Platygloeales: Eocrona</w:t>
      </w:r>
      <w:r>
        <w:t>r</w:t>
      </w:r>
      <w:r>
        <w:t>tiaceae].</w:t>
      </w:r>
    </w:p>
    <w:p w:rsidR="000F6AFA" w:rsidRDefault="000F6AFA" w:rsidP="000F6AFA">
      <w:pPr>
        <w:pStyle w:val="Term"/>
      </w:pPr>
      <w:r w:rsidRPr="000F6AFA">
        <w:rPr>
          <w:b/>
        </w:rPr>
        <w:t>Platycarpa</w:t>
      </w:r>
      <w:r>
        <w:t xml:space="preserve"> Couch, </w:t>
      </w:r>
      <w:r w:rsidRPr="000F6AFA">
        <w:rPr>
          <w:i/>
        </w:rPr>
        <w:t>Mycologia</w:t>
      </w:r>
      <w:r>
        <w:t xml:space="preserve"> </w:t>
      </w:r>
      <w:r w:rsidRPr="000F6AFA">
        <w:rPr>
          <w:b/>
        </w:rPr>
        <w:t>41</w:t>
      </w:r>
      <w:r>
        <w:t xml:space="preserve"> (4): 427 (1949). – Type: </w:t>
      </w:r>
      <w:r w:rsidRPr="000F6AFA">
        <w:rPr>
          <w:i/>
        </w:rPr>
        <w:t>Platycarpa polypodii</w:t>
      </w:r>
      <w:r>
        <w:t xml:space="preserve"> (Couch) Couch 1949 – [Fungi: Basidiomycota: Pucciniomycotina: Pu</w:t>
      </w:r>
      <w:r>
        <w:t>c</w:t>
      </w:r>
      <w:r>
        <w:t>ciniomycetes: Incertae sedis: Platygloeales: Eocronartiaceae].</w:t>
      </w:r>
    </w:p>
    <w:p w:rsidR="000F6AFA" w:rsidRDefault="000F6AFA" w:rsidP="000F6AFA">
      <w:pPr>
        <w:pStyle w:val="Term"/>
      </w:pPr>
      <w:r w:rsidRPr="000F6AFA">
        <w:rPr>
          <w:b/>
        </w:rPr>
        <w:t>Platygloea</w:t>
      </w:r>
      <w:r>
        <w:t xml:space="preserve"> J. Schröt., </w:t>
      </w:r>
      <w:r w:rsidRPr="000F6AFA">
        <w:rPr>
          <w:i/>
        </w:rPr>
        <w:t>Krypt.-Fl. Schlesien</w:t>
      </w:r>
      <w:r>
        <w:t xml:space="preserve"> (Breslau) </w:t>
      </w:r>
      <w:r w:rsidRPr="000F6AFA">
        <w:rPr>
          <w:b/>
        </w:rPr>
        <w:t>3.1</w:t>
      </w:r>
      <w:r>
        <w:t xml:space="preserve"> (17–24): 384 (1887) [‘1889’]. – Type: </w:t>
      </w:r>
      <w:r w:rsidRPr="000F6AFA">
        <w:rPr>
          <w:i/>
        </w:rPr>
        <w:t>Plat</w:t>
      </w:r>
      <w:r w:rsidRPr="000F6AFA">
        <w:rPr>
          <w:i/>
        </w:rPr>
        <w:t>y</w:t>
      </w:r>
      <w:r w:rsidRPr="000F6AFA">
        <w:rPr>
          <w:i/>
        </w:rPr>
        <w:t>gloea nigricans</w:t>
      </w:r>
      <w:r>
        <w:t xml:space="preserve"> (Fr.) J. Schröt. 1887 </w:t>
      </w:r>
      <w:bookmarkStart w:id="0" w:name="SOS"/>
      <w:bookmarkEnd w:id="0"/>
      <w:r>
        <w:t>– [Fungi: Basidiomycota: Pucciniomycotina: Pucciniom</w:t>
      </w:r>
      <w:r>
        <w:t>y</w:t>
      </w:r>
      <w:r>
        <w:t>cetes: Incertae sedis: Platygloeales: Plat</w:t>
      </w:r>
      <w:r>
        <w:t>y</w:t>
      </w:r>
      <w:r>
        <w:t>gloeaceae].</w:t>
      </w:r>
    </w:p>
    <w:p w:rsidR="000F6AFA" w:rsidRDefault="000F6AFA" w:rsidP="000F6AFA">
      <w:pPr>
        <w:pStyle w:val="Term"/>
      </w:pPr>
      <w:r w:rsidRPr="000F6AFA">
        <w:rPr>
          <w:b/>
        </w:rPr>
        <w:t>Ptechetelium</w:t>
      </w:r>
      <w:r>
        <w:t xml:space="preserve"> Oberw. &amp; Bandoni, </w:t>
      </w:r>
      <w:r w:rsidRPr="000F6AFA">
        <w:rPr>
          <w:i/>
        </w:rPr>
        <w:t>Trans. Br. mycol. Soc.</w:t>
      </w:r>
      <w:r>
        <w:t xml:space="preserve"> </w:t>
      </w:r>
      <w:r w:rsidRPr="000F6AFA">
        <w:rPr>
          <w:b/>
        </w:rPr>
        <w:t>83</w:t>
      </w:r>
      <w:r>
        <w:t xml:space="preserve"> (4): 645 (1984). – Type: </w:t>
      </w:r>
      <w:r w:rsidRPr="000F6AFA">
        <w:rPr>
          <w:i/>
        </w:rPr>
        <w:t>Ptechetelium c</w:t>
      </w:r>
      <w:r w:rsidRPr="000F6AFA">
        <w:rPr>
          <w:i/>
        </w:rPr>
        <w:t>y</w:t>
      </w:r>
      <w:r w:rsidRPr="000F6AFA">
        <w:rPr>
          <w:i/>
        </w:rPr>
        <w:t>atheae</w:t>
      </w:r>
      <w:r>
        <w:t xml:space="preserve"> (Syd.) Oberw. &amp; Bandoni 1984 – [Fungi: Basidiomycota: Pucciniomycotina: Pucciniom</w:t>
      </w:r>
      <w:r>
        <w:t>y</w:t>
      </w:r>
      <w:r>
        <w:t>cetes: Incertae sedis: Platygloeales: Eocrona</w:t>
      </w:r>
      <w:r>
        <w:t>r</w:t>
      </w:r>
      <w:r>
        <w:t>tiaceae].</w:t>
      </w:r>
    </w:p>
    <w:p w:rsidR="00623A51" w:rsidRPr="000C7C11" w:rsidRDefault="00623A51" w:rsidP="000F6AFA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FA" w:rsidRDefault="000F6AFA">
      <w:r>
        <w:separator/>
      </w:r>
    </w:p>
  </w:endnote>
  <w:endnote w:type="continuationSeparator" w:id="0">
    <w:p w:rsidR="000F6AFA" w:rsidRDefault="000F6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FA" w:rsidRDefault="000F6AFA">
      <w:r>
        <w:separator/>
      </w:r>
    </w:p>
  </w:footnote>
  <w:footnote w:type="continuationSeparator" w:id="0">
    <w:p w:rsidR="000F6AFA" w:rsidRDefault="000F6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B5147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B5147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0F6AFA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AB5147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AB5147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AB5147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B5147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B5147"/>
    <w:pPr>
      <w:ind w:left="0"/>
    </w:pPr>
  </w:style>
  <w:style w:type="paragraph" w:customStyle="1" w:styleId="Name">
    <w:name w:val="Name"/>
    <w:basedOn w:val="Normal"/>
    <w:rsid w:val="00AB5147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AB5147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AB5147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AB5147"/>
    <w:pPr>
      <w:outlineLvl w:val="4"/>
    </w:pPr>
    <w:rPr>
      <w:sz w:val="20"/>
    </w:rPr>
  </w:style>
  <w:style w:type="paragraph" w:customStyle="1" w:styleId="Data">
    <w:name w:val="Data"/>
    <w:basedOn w:val="Normal"/>
    <w:rsid w:val="00AB5147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AB5147"/>
    <w:pPr>
      <w:ind w:left="960"/>
    </w:pPr>
  </w:style>
  <w:style w:type="paragraph" w:styleId="TOC2">
    <w:name w:val="toc 2"/>
    <w:basedOn w:val="Normal"/>
    <w:next w:val="Normal"/>
    <w:autoRedefine/>
    <w:semiHidden/>
    <w:rsid w:val="00AB5147"/>
    <w:pPr>
      <w:ind w:left="160"/>
    </w:pPr>
  </w:style>
  <w:style w:type="paragraph" w:styleId="TOC3">
    <w:name w:val="toc 3"/>
    <w:basedOn w:val="Normal"/>
    <w:next w:val="Normal"/>
    <w:autoRedefine/>
    <w:semiHidden/>
    <w:rsid w:val="00AB5147"/>
    <w:pPr>
      <w:ind w:left="320"/>
    </w:pPr>
  </w:style>
  <w:style w:type="paragraph" w:styleId="TOC4">
    <w:name w:val="toc 4"/>
    <w:basedOn w:val="Normal"/>
    <w:next w:val="Normal"/>
    <w:autoRedefine/>
    <w:semiHidden/>
    <w:rsid w:val="00AB5147"/>
    <w:pPr>
      <w:ind w:left="480"/>
    </w:pPr>
  </w:style>
  <w:style w:type="paragraph" w:styleId="TOC5">
    <w:name w:val="toc 5"/>
    <w:basedOn w:val="Normal"/>
    <w:next w:val="Normal"/>
    <w:autoRedefine/>
    <w:semiHidden/>
    <w:rsid w:val="00AB5147"/>
    <w:pPr>
      <w:ind w:left="640"/>
    </w:pPr>
  </w:style>
  <w:style w:type="paragraph" w:styleId="TOC6">
    <w:name w:val="toc 6"/>
    <w:basedOn w:val="Normal"/>
    <w:next w:val="Normal"/>
    <w:autoRedefine/>
    <w:semiHidden/>
    <w:rsid w:val="00AB5147"/>
    <w:pPr>
      <w:ind w:left="800"/>
    </w:pPr>
  </w:style>
  <w:style w:type="paragraph" w:styleId="TOC8">
    <w:name w:val="toc 8"/>
    <w:basedOn w:val="Normal"/>
    <w:next w:val="Normal"/>
    <w:autoRedefine/>
    <w:semiHidden/>
    <w:rsid w:val="00AB5147"/>
    <w:pPr>
      <w:ind w:left="1120"/>
    </w:pPr>
  </w:style>
  <w:style w:type="paragraph" w:styleId="TOC9">
    <w:name w:val="toc 9"/>
    <w:basedOn w:val="Normal"/>
    <w:next w:val="Normal"/>
    <w:autoRedefine/>
    <w:semiHidden/>
    <w:rsid w:val="00AB5147"/>
    <w:pPr>
      <w:ind w:left="1280"/>
    </w:pPr>
  </w:style>
  <w:style w:type="paragraph" w:styleId="Header">
    <w:name w:val="header"/>
    <w:basedOn w:val="Normal"/>
    <w:rsid w:val="00AB5147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AB5147"/>
    <w:pPr>
      <w:ind w:left="0"/>
    </w:pPr>
    <w:rPr>
      <w:sz w:val="28"/>
    </w:rPr>
  </w:style>
  <w:style w:type="paragraph" w:customStyle="1" w:styleId="Family">
    <w:name w:val="Family"/>
    <w:basedOn w:val="Order"/>
    <w:rsid w:val="00AB5147"/>
  </w:style>
  <w:style w:type="paragraph" w:styleId="Footer">
    <w:name w:val="footer"/>
    <w:basedOn w:val="Normal"/>
    <w:rsid w:val="00AB51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5147"/>
  </w:style>
  <w:style w:type="paragraph" w:customStyle="1" w:styleId="Hierarchy">
    <w:name w:val="Hierarchy"/>
    <w:basedOn w:val="Normal"/>
    <w:rsid w:val="00AB5147"/>
    <w:pPr>
      <w:ind w:left="0"/>
    </w:pPr>
  </w:style>
  <w:style w:type="paragraph" w:customStyle="1" w:styleId="Genus">
    <w:name w:val="Genus"/>
    <w:basedOn w:val="Normal"/>
    <w:rsid w:val="00AB5147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AB5147"/>
    <w:pPr>
      <w:spacing w:after="120"/>
    </w:pPr>
  </w:style>
  <w:style w:type="paragraph" w:customStyle="1" w:styleId="Synonyms">
    <w:name w:val="Synonyms"/>
    <w:basedOn w:val="Genus"/>
    <w:rsid w:val="00AB5147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AB5147"/>
    <w:rPr>
      <w:b/>
    </w:rPr>
  </w:style>
  <w:style w:type="paragraph" w:styleId="Bibliography">
    <w:name w:val="Bibliography"/>
    <w:basedOn w:val="Normal"/>
    <w:rsid w:val="00AB5147"/>
    <w:pPr>
      <w:ind w:hanging="288"/>
    </w:pPr>
    <w:rPr>
      <w:b/>
    </w:rPr>
  </w:style>
  <w:style w:type="paragraph" w:customStyle="1" w:styleId="synonym">
    <w:name w:val="synonym"/>
    <w:basedOn w:val="Data"/>
    <w:rsid w:val="00AB5147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AB514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227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2014-01-02T13:19:00Z</dcterms:created>
  <dcterms:modified xsi:type="dcterms:W3CDTF">2014-01-02T13:20:00Z</dcterms:modified>
</cp:coreProperties>
</file>