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D4" w:rsidRDefault="00520BD4" w:rsidP="00520BD4">
      <w:pPr>
        <w:pStyle w:val="Term"/>
      </w:pPr>
      <w:r w:rsidRPr="00520BD4">
        <w:rPr>
          <w:b/>
        </w:rPr>
        <w:t>Badhamia</w:t>
      </w:r>
      <w:r>
        <w:t xml:space="preserve"> Berk., </w:t>
      </w:r>
      <w:r w:rsidRPr="00520BD4">
        <w:rPr>
          <w:i/>
        </w:rPr>
        <w:t>Trans. Linn. Soc. London</w:t>
      </w:r>
      <w:r>
        <w:t xml:space="preserve"> </w:t>
      </w:r>
      <w:r w:rsidRPr="00520BD4">
        <w:rPr>
          <w:b/>
        </w:rPr>
        <w:t>21</w:t>
      </w:r>
      <w:r>
        <w:t xml:space="preserve">: 153 (1853) [‘1852’]. – Type: </w:t>
      </w:r>
      <w:r w:rsidRPr="00520BD4">
        <w:rPr>
          <w:i/>
        </w:rPr>
        <w:t>Badhamia capsulifera</w:t>
      </w:r>
      <w:r>
        <w:t xml:space="preserve"> (Bull.) Berk. 1853 – [Protozoa: Amoebozoa: M</w:t>
      </w:r>
      <w:r>
        <w:t>y</w:t>
      </w:r>
      <w:r>
        <w:t>cetozoa: Myxogastrea: Incertae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Badhamiopsis</w:t>
      </w:r>
      <w:r>
        <w:t xml:space="preserve"> T.E. Brooks &amp; H.W. Keller, </w:t>
      </w:r>
      <w:r w:rsidRPr="00520BD4">
        <w:rPr>
          <w:i/>
        </w:rPr>
        <w:t>M</w:t>
      </w:r>
      <w:r w:rsidRPr="00520BD4">
        <w:rPr>
          <w:i/>
        </w:rPr>
        <w:t>y</w:t>
      </w:r>
      <w:r w:rsidRPr="00520BD4">
        <w:rPr>
          <w:i/>
        </w:rPr>
        <w:t>cologia</w:t>
      </w:r>
      <w:r>
        <w:t xml:space="preserve"> </w:t>
      </w:r>
      <w:r w:rsidRPr="00520BD4">
        <w:rPr>
          <w:b/>
        </w:rPr>
        <w:t>68</w:t>
      </w:r>
      <w:r>
        <w:t xml:space="preserve"> (4): 835 (1976). – Type: </w:t>
      </w:r>
      <w:r w:rsidRPr="00520BD4">
        <w:rPr>
          <w:i/>
        </w:rPr>
        <w:t>Badhamiopsis ainoae</w:t>
      </w:r>
      <w:r>
        <w:t xml:space="preserve"> (Yamash.) T.E. Brooks &amp; H.W. Keller 1976 – [Protozoa: Amoebozoa: Mycetozoa: Myxogastrea: Incertae sedis: Physarida: Ph</w:t>
      </w:r>
      <w:r>
        <w:t>y</w:t>
      </w:r>
      <w:r>
        <w:t>saraceae].</w:t>
      </w:r>
    </w:p>
    <w:p w:rsidR="00520BD4" w:rsidRDefault="00520BD4" w:rsidP="00520BD4">
      <w:pPr>
        <w:pStyle w:val="Term"/>
      </w:pPr>
      <w:r w:rsidRPr="00520BD4">
        <w:rPr>
          <w:b/>
        </w:rPr>
        <w:t>Craterium</w:t>
      </w:r>
      <w:r>
        <w:t xml:space="preserve"> Trentep., </w:t>
      </w:r>
      <w:r w:rsidRPr="00520BD4">
        <w:rPr>
          <w:i/>
        </w:rPr>
        <w:t>Catal. Bot.</w:t>
      </w:r>
      <w:r>
        <w:t xml:space="preserve"> </w:t>
      </w:r>
      <w:r w:rsidRPr="00520BD4">
        <w:rPr>
          <w:b/>
        </w:rPr>
        <w:t>1</w:t>
      </w:r>
      <w:r>
        <w:t xml:space="preserve">: 224 (1797). – Type: </w:t>
      </w:r>
      <w:r w:rsidRPr="00520BD4">
        <w:rPr>
          <w:i/>
        </w:rPr>
        <w:t>Craterium pedunculatum</w:t>
      </w:r>
      <w:r>
        <w:t xml:space="preserve"> Trentep. 1797 – [Protozoa: Amoebozoa: Mycetozoa: Myxoga</w:t>
      </w:r>
      <w:r>
        <w:t>s</w:t>
      </w:r>
      <w:r>
        <w:t>trea: Incertae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Diderma</w:t>
      </w:r>
      <w:r>
        <w:t xml:space="preserve"> Pers., </w:t>
      </w:r>
      <w:r w:rsidRPr="00520BD4">
        <w:rPr>
          <w:i/>
        </w:rPr>
        <w:t>Neues Mag. Bot.</w:t>
      </w:r>
      <w:r>
        <w:t xml:space="preserve"> </w:t>
      </w:r>
      <w:r w:rsidRPr="00520BD4">
        <w:rPr>
          <w:b/>
        </w:rPr>
        <w:t>1</w:t>
      </w:r>
      <w:r>
        <w:t xml:space="preserve">: 89 (1794). – Type: </w:t>
      </w:r>
      <w:r w:rsidRPr="00520BD4">
        <w:rPr>
          <w:i/>
        </w:rPr>
        <w:t>Diderma globosum</w:t>
      </w:r>
      <w:r>
        <w:t xml:space="preserve"> Pers. 1794 – [Protozoa: Amoebozoa: Mycetozoa: Myxogastrea: Incertae sedis: Physarida: Didymiaceae].</w:t>
      </w:r>
    </w:p>
    <w:p w:rsidR="00520BD4" w:rsidRDefault="00520BD4" w:rsidP="00520BD4">
      <w:pPr>
        <w:pStyle w:val="Term"/>
      </w:pPr>
      <w:r w:rsidRPr="00520BD4">
        <w:rPr>
          <w:b/>
        </w:rPr>
        <w:t>Didymium</w:t>
      </w:r>
      <w:r>
        <w:t xml:space="preserve"> Schrad., </w:t>
      </w:r>
      <w:r w:rsidRPr="00520BD4">
        <w:rPr>
          <w:i/>
        </w:rPr>
        <w:t>Nov. gen. pl.</w:t>
      </w:r>
      <w:r>
        <w:t xml:space="preserve"> (Lipsiae): 20 (1797). – Type: </w:t>
      </w:r>
      <w:r w:rsidRPr="00520BD4">
        <w:rPr>
          <w:i/>
        </w:rPr>
        <w:t>Didymium farinaceum</w:t>
      </w:r>
      <w:r>
        <w:t xml:space="preserve"> Schrad. 1797 – [Protozoa: Amoebozoa: Mycetozoa: Myxogastrea: Incertae sedis: Physarida: D</w:t>
      </w:r>
      <w:r>
        <w:t>i</w:t>
      </w:r>
      <w:r>
        <w:t>dymiaceae].</w:t>
      </w:r>
    </w:p>
    <w:p w:rsidR="00520BD4" w:rsidRDefault="00520BD4" w:rsidP="00520BD4">
      <w:pPr>
        <w:pStyle w:val="Term"/>
      </w:pPr>
      <w:r w:rsidRPr="00520BD4">
        <w:rPr>
          <w:b/>
        </w:rPr>
        <w:t>Elaeomyxa</w:t>
      </w:r>
      <w:r>
        <w:t xml:space="preserve"> Hagelst., </w:t>
      </w:r>
      <w:r w:rsidRPr="00520BD4">
        <w:rPr>
          <w:i/>
        </w:rPr>
        <w:t>Mycologia</w:t>
      </w:r>
      <w:r>
        <w:t xml:space="preserve"> </w:t>
      </w:r>
      <w:r w:rsidRPr="00520BD4">
        <w:rPr>
          <w:b/>
        </w:rPr>
        <w:t>34</w:t>
      </w:r>
      <w:r>
        <w:t xml:space="preserve"> (5): 593 (1942). – Type: </w:t>
      </w:r>
      <w:r w:rsidRPr="00520BD4">
        <w:rPr>
          <w:i/>
        </w:rPr>
        <w:t>Elaeomyxa miyazakiensis</w:t>
      </w:r>
      <w:r>
        <w:t xml:space="preserve"> (Emoto) Hagelst. 1942 – [Protozoa: Amoebozoa: Mycet</w:t>
      </w:r>
      <w:r>
        <w:t>o</w:t>
      </w:r>
      <w:r>
        <w:t>zoa: Myxogastrea: Incertae sedis: Physarida: Elaeomyxaceae].</w:t>
      </w:r>
    </w:p>
    <w:p w:rsidR="00520BD4" w:rsidRDefault="00520BD4" w:rsidP="00520BD4">
      <w:pPr>
        <w:pStyle w:val="Term"/>
      </w:pPr>
      <w:r w:rsidRPr="00520BD4">
        <w:rPr>
          <w:b/>
        </w:rPr>
        <w:t>Fuligo</w:t>
      </w:r>
      <w:r>
        <w:t xml:space="preserve"> Haller, </w:t>
      </w:r>
      <w:r w:rsidRPr="00520BD4">
        <w:rPr>
          <w:i/>
        </w:rPr>
        <w:t>Hist. stirp. Helv.</w:t>
      </w:r>
      <w:r>
        <w:t xml:space="preserve"> </w:t>
      </w:r>
      <w:r w:rsidRPr="00520BD4">
        <w:rPr>
          <w:b/>
        </w:rPr>
        <w:t>3</w:t>
      </w:r>
      <w:r>
        <w:t xml:space="preserve">: 110 (1768). – Type: </w:t>
      </w:r>
      <w:r w:rsidRPr="00520BD4">
        <w:rPr>
          <w:i/>
        </w:rPr>
        <w:t>Fuligo septica</w:t>
      </w:r>
      <w:r>
        <w:t xml:space="preserve"> (L.) F.H. Wigg. 1780 – [Pr</w:t>
      </w:r>
      <w:r>
        <w:t>o</w:t>
      </w:r>
      <w:r>
        <w:t>tozoa: Amoebozoa: Mycetozoa: Myxogastrea: I</w:t>
      </w:r>
      <w:r>
        <w:t>n</w:t>
      </w:r>
      <w:r>
        <w:t>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Leocarpus</w:t>
      </w:r>
      <w:r>
        <w:t xml:space="preserve"> Link, </w:t>
      </w:r>
      <w:r w:rsidRPr="00520BD4">
        <w:rPr>
          <w:i/>
        </w:rPr>
        <w:t>Mag. Gesell. naturf. Freunde, Berlin</w:t>
      </w:r>
      <w:r>
        <w:t xml:space="preserve"> </w:t>
      </w:r>
      <w:r w:rsidRPr="00520BD4">
        <w:rPr>
          <w:b/>
        </w:rPr>
        <w:t>3</w:t>
      </w:r>
      <w:r>
        <w:t xml:space="preserve"> (1-2): 25 (1809). – Type: </w:t>
      </w:r>
      <w:r w:rsidRPr="00520BD4">
        <w:rPr>
          <w:i/>
        </w:rPr>
        <w:t>Leocarpus ve</w:t>
      </w:r>
      <w:r w:rsidRPr="00520BD4">
        <w:rPr>
          <w:i/>
        </w:rPr>
        <w:t>r</w:t>
      </w:r>
      <w:r w:rsidRPr="00520BD4">
        <w:rPr>
          <w:i/>
        </w:rPr>
        <w:t>nicosus</w:t>
      </w:r>
      <w:r>
        <w:t xml:space="preserve"> (Pers.) Link 1809 – [Protozoa: Amoeb</w:t>
      </w:r>
      <w:r>
        <w:t>o</w:t>
      </w:r>
      <w:r>
        <w:t>zoa: Mycetozoa: Myxogastrea: Incertae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Lepidoderma</w:t>
      </w:r>
      <w:r>
        <w:t xml:space="preserve"> de Bary, </w:t>
      </w:r>
      <w:r w:rsidRPr="00520BD4">
        <w:rPr>
          <w:i/>
        </w:rPr>
        <w:t>Vers. Syst. Mycetozoen</w:t>
      </w:r>
      <w:r>
        <w:t xml:space="preserve"> (Strassburg): 7 (1873). – Type: </w:t>
      </w:r>
      <w:r w:rsidRPr="00520BD4">
        <w:rPr>
          <w:i/>
        </w:rPr>
        <w:t>Lepidoderma t</w:t>
      </w:r>
      <w:r w:rsidRPr="00520BD4">
        <w:rPr>
          <w:i/>
        </w:rPr>
        <w:t>i</w:t>
      </w:r>
      <w:r w:rsidRPr="00520BD4">
        <w:rPr>
          <w:i/>
        </w:rPr>
        <w:t>grinum</w:t>
      </w:r>
      <w:r>
        <w:t xml:space="preserve"> (Schrad.) Rostaf. 1873 – [Protozoa: Amoebozoa: Mycetozoa: Myxogastrea: Incertae sedis: Physarida: Didymiaceae].</w:t>
      </w:r>
    </w:p>
    <w:p w:rsidR="00520BD4" w:rsidRDefault="00520BD4" w:rsidP="00520BD4">
      <w:pPr>
        <w:pStyle w:val="Term"/>
      </w:pPr>
      <w:r w:rsidRPr="00520BD4">
        <w:rPr>
          <w:b/>
        </w:rPr>
        <w:t>Physarella</w:t>
      </w:r>
      <w:r>
        <w:t xml:space="preserve"> Peck, </w:t>
      </w:r>
      <w:r w:rsidRPr="00520BD4">
        <w:rPr>
          <w:i/>
        </w:rPr>
        <w:t>Bull. Torrey bot. Club</w:t>
      </w:r>
      <w:r>
        <w:t xml:space="preserve"> </w:t>
      </w:r>
      <w:r w:rsidRPr="00520BD4">
        <w:rPr>
          <w:b/>
        </w:rPr>
        <w:t>9</w:t>
      </w:r>
      <w:r>
        <w:t xml:space="preserve">: 61 (1882). – Type: </w:t>
      </w:r>
      <w:r w:rsidRPr="00520BD4">
        <w:rPr>
          <w:i/>
        </w:rPr>
        <w:t>Physarella mirabilis</w:t>
      </w:r>
      <w:r>
        <w:t xml:space="preserve"> (Peck) Peck 1882 – [Protozoa: Amoebozoa: Mycetozoa: Myxogastrea: Incertae sedis: Physarida: Ph</w:t>
      </w:r>
      <w:r>
        <w:t>y</w:t>
      </w:r>
      <w:r>
        <w:t>saraceae].</w:t>
      </w:r>
    </w:p>
    <w:p w:rsidR="00520BD4" w:rsidRDefault="00520BD4" w:rsidP="00520BD4">
      <w:pPr>
        <w:pStyle w:val="Term"/>
      </w:pPr>
      <w:r w:rsidRPr="00520BD4">
        <w:rPr>
          <w:b/>
        </w:rPr>
        <w:t>Physarina</w:t>
      </w:r>
      <w:r>
        <w:t xml:space="preserve"> Höhn., </w:t>
      </w:r>
      <w:r w:rsidRPr="00520BD4">
        <w:rPr>
          <w:i/>
        </w:rPr>
        <w:t>Sber. Akad. Wiss. Wien</w:t>
      </w:r>
      <w:r>
        <w:t xml:space="preserve"> Math.-naturw. Kl., Abt. 1 </w:t>
      </w:r>
      <w:r w:rsidRPr="00520BD4">
        <w:rPr>
          <w:b/>
        </w:rPr>
        <w:t>118</w:t>
      </w:r>
      <w:r>
        <w:t xml:space="preserve">: 431 [157 repr.] (1909). – Type: </w:t>
      </w:r>
      <w:r w:rsidRPr="00520BD4">
        <w:rPr>
          <w:i/>
        </w:rPr>
        <w:t>Physarina echinocephala</w:t>
      </w:r>
      <w:r>
        <w:t xml:space="preserve"> Höhn. 1909 – [Protozoa: Amoebozoa: Mycetozoa: Myxoga</w:t>
      </w:r>
      <w:r>
        <w:t>s</w:t>
      </w:r>
      <w:r>
        <w:t>trea: Incertae sedis: Physarida: Didymiaceae].</w:t>
      </w:r>
    </w:p>
    <w:p w:rsidR="00520BD4" w:rsidRDefault="00520BD4" w:rsidP="00520BD4">
      <w:pPr>
        <w:pStyle w:val="Term"/>
      </w:pPr>
      <w:r w:rsidRPr="00520BD4">
        <w:rPr>
          <w:b/>
        </w:rPr>
        <w:t>Physarum</w:t>
      </w:r>
      <w:r>
        <w:t xml:space="preserve"> Pers., </w:t>
      </w:r>
      <w:r w:rsidRPr="00520BD4">
        <w:rPr>
          <w:i/>
        </w:rPr>
        <w:t>Neues Mag. Bot.</w:t>
      </w:r>
      <w:r>
        <w:t xml:space="preserve"> </w:t>
      </w:r>
      <w:r w:rsidRPr="00520BD4">
        <w:rPr>
          <w:b/>
        </w:rPr>
        <w:t>1</w:t>
      </w:r>
      <w:r>
        <w:t xml:space="preserve">: 88 (1794). – Type: </w:t>
      </w:r>
      <w:r w:rsidRPr="00520BD4">
        <w:rPr>
          <w:i/>
        </w:rPr>
        <w:t>Physarum aureum</w:t>
      </w:r>
      <w:r>
        <w:t xml:space="preserve"> Pers. 1794 – [Protozoa: Amoebozoa: Mycetozoa: Myxogastrea: Incertae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Protophysarum</w:t>
      </w:r>
      <w:r>
        <w:t xml:space="preserve"> M. Blackw. &amp; Alexop., </w:t>
      </w:r>
      <w:r w:rsidRPr="00520BD4">
        <w:rPr>
          <w:i/>
        </w:rPr>
        <w:t>Mycologia</w:t>
      </w:r>
      <w:r>
        <w:t xml:space="preserve"> </w:t>
      </w:r>
      <w:r w:rsidRPr="00520BD4">
        <w:rPr>
          <w:b/>
        </w:rPr>
        <w:t>67</w:t>
      </w:r>
      <w:r>
        <w:t xml:space="preserve"> (1): 33 (1975). – Type: </w:t>
      </w:r>
      <w:r w:rsidRPr="00520BD4">
        <w:rPr>
          <w:i/>
        </w:rPr>
        <w:t>Protophysarum phloi</w:t>
      </w:r>
      <w:r w:rsidRPr="00520BD4">
        <w:rPr>
          <w:i/>
        </w:rPr>
        <w:t>o</w:t>
      </w:r>
      <w:r w:rsidRPr="00520BD4">
        <w:rPr>
          <w:i/>
        </w:rPr>
        <w:t>genum</w:t>
      </w:r>
      <w:r>
        <w:t xml:space="preserve"> M. Blackw. &amp; Alexop. 1975 – [Protozoa: Amoebozoa: Mycetozoa: Myxogastrea: Incertae sedis: Physarida: Physaraceae].</w:t>
      </w:r>
    </w:p>
    <w:p w:rsidR="00520BD4" w:rsidRDefault="00520BD4" w:rsidP="00520BD4">
      <w:pPr>
        <w:pStyle w:val="Term"/>
      </w:pPr>
      <w:r w:rsidRPr="00520BD4">
        <w:rPr>
          <w:b/>
        </w:rPr>
        <w:t>Trabrooksia</w:t>
      </w:r>
      <w:r>
        <w:t xml:space="preserve"> H.W. Keller, </w:t>
      </w:r>
      <w:r w:rsidRPr="00520BD4">
        <w:rPr>
          <w:i/>
        </w:rPr>
        <w:t>Mycologia</w:t>
      </w:r>
      <w:r>
        <w:t xml:space="preserve"> </w:t>
      </w:r>
      <w:r w:rsidRPr="00520BD4">
        <w:rPr>
          <w:b/>
        </w:rPr>
        <w:t>72</w:t>
      </w:r>
      <w:r>
        <w:t xml:space="preserve"> (2): 396 (1980). – Type: </w:t>
      </w:r>
      <w:r w:rsidRPr="00520BD4">
        <w:rPr>
          <w:i/>
        </w:rPr>
        <w:t>Trabrooksia applanata</w:t>
      </w:r>
      <w:r>
        <w:t xml:space="preserve"> H.W. Ke</w:t>
      </w:r>
      <w:r>
        <w:t>l</w:t>
      </w:r>
      <w:r>
        <w:t xml:space="preserve">ler 1980 </w:t>
      </w:r>
      <w:bookmarkStart w:id="0" w:name="SOS"/>
      <w:bookmarkEnd w:id="0"/>
      <w:r>
        <w:t>– [Protozoa: Amoebozoa: Mycetozoa: Myxogastrea: Incertae sedis: Physarida: D</w:t>
      </w:r>
      <w:r>
        <w:t>i</w:t>
      </w:r>
      <w:r>
        <w:t>dymiaceae].</w:t>
      </w:r>
    </w:p>
    <w:p w:rsidR="00520BD4" w:rsidRDefault="00520BD4" w:rsidP="00520BD4">
      <w:pPr>
        <w:pStyle w:val="Term"/>
      </w:pPr>
      <w:r w:rsidRPr="00520BD4">
        <w:rPr>
          <w:b/>
        </w:rPr>
        <w:t>Willkommlangea</w:t>
      </w:r>
      <w:r>
        <w:t xml:space="preserve"> Kuntze, </w:t>
      </w:r>
      <w:r w:rsidRPr="00520BD4">
        <w:rPr>
          <w:i/>
        </w:rPr>
        <w:t>Revis. gen. pl.</w:t>
      </w:r>
      <w:r>
        <w:t xml:space="preserve"> (Leipzig) </w:t>
      </w:r>
      <w:r w:rsidRPr="00520BD4">
        <w:rPr>
          <w:b/>
        </w:rPr>
        <w:t>2</w:t>
      </w:r>
      <w:r>
        <w:t xml:space="preserve">: 875 (1891). – Type: </w:t>
      </w:r>
      <w:r w:rsidRPr="00520BD4">
        <w:rPr>
          <w:i/>
        </w:rPr>
        <w:t>Willkommlangea reticulata</w:t>
      </w:r>
      <w:r>
        <w:t xml:space="preserve"> (Alb. &amp; Schwein.) Kuntze 1891 – [Protozoa: Amoebozoa: Mycetozoa: Myxogastrea: Incertae sedis: Physarida: Physaraceae].</w:t>
      </w:r>
    </w:p>
    <w:p w:rsidR="00623A51" w:rsidRPr="000C7C11" w:rsidRDefault="00623A51" w:rsidP="00520BD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D4" w:rsidRDefault="00520BD4">
      <w:r>
        <w:separator/>
      </w:r>
    </w:p>
  </w:endnote>
  <w:endnote w:type="continuationSeparator" w:id="0">
    <w:p w:rsidR="00520BD4" w:rsidRDefault="0052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D4" w:rsidRDefault="00520BD4">
      <w:r>
        <w:separator/>
      </w:r>
    </w:p>
  </w:footnote>
  <w:footnote w:type="continuationSeparator" w:id="0">
    <w:p w:rsidR="00520BD4" w:rsidRDefault="0052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6098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6098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0985"/>
    <w:rsid w:val="00167C88"/>
    <w:rsid w:val="00196A7A"/>
    <w:rsid w:val="0023782C"/>
    <w:rsid w:val="002C330A"/>
    <w:rsid w:val="002C7F02"/>
    <w:rsid w:val="00316AB5"/>
    <w:rsid w:val="003173D7"/>
    <w:rsid w:val="00346B10"/>
    <w:rsid w:val="00520BD4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6098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6098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6098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60985"/>
    <w:pPr>
      <w:ind w:left="0"/>
    </w:pPr>
  </w:style>
  <w:style w:type="paragraph" w:customStyle="1" w:styleId="Name">
    <w:name w:val="Name"/>
    <w:basedOn w:val="Normal"/>
    <w:rsid w:val="0016098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6098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6098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60985"/>
    <w:pPr>
      <w:outlineLvl w:val="4"/>
    </w:pPr>
    <w:rPr>
      <w:sz w:val="20"/>
    </w:rPr>
  </w:style>
  <w:style w:type="paragraph" w:customStyle="1" w:styleId="Data">
    <w:name w:val="Data"/>
    <w:basedOn w:val="Normal"/>
    <w:rsid w:val="0016098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60985"/>
    <w:pPr>
      <w:ind w:left="960"/>
    </w:pPr>
  </w:style>
  <w:style w:type="paragraph" w:styleId="TOC2">
    <w:name w:val="toc 2"/>
    <w:basedOn w:val="Normal"/>
    <w:next w:val="Normal"/>
    <w:autoRedefine/>
    <w:semiHidden/>
    <w:rsid w:val="00160985"/>
    <w:pPr>
      <w:ind w:left="160"/>
    </w:pPr>
  </w:style>
  <w:style w:type="paragraph" w:styleId="TOC3">
    <w:name w:val="toc 3"/>
    <w:basedOn w:val="Normal"/>
    <w:next w:val="Normal"/>
    <w:autoRedefine/>
    <w:semiHidden/>
    <w:rsid w:val="00160985"/>
    <w:pPr>
      <w:ind w:left="320"/>
    </w:pPr>
  </w:style>
  <w:style w:type="paragraph" w:styleId="TOC4">
    <w:name w:val="toc 4"/>
    <w:basedOn w:val="Normal"/>
    <w:next w:val="Normal"/>
    <w:autoRedefine/>
    <w:semiHidden/>
    <w:rsid w:val="00160985"/>
    <w:pPr>
      <w:ind w:left="480"/>
    </w:pPr>
  </w:style>
  <w:style w:type="paragraph" w:styleId="TOC5">
    <w:name w:val="toc 5"/>
    <w:basedOn w:val="Normal"/>
    <w:next w:val="Normal"/>
    <w:autoRedefine/>
    <w:semiHidden/>
    <w:rsid w:val="00160985"/>
    <w:pPr>
      <w:ind w:left="640"/>
    </w:pPr>
  </w:style>
  <w:style w:type="paragraph" w:styleId="TOC6">
    <w:name w:val="toc 6"/>
    <w:basedOn w:val="Normal"/>
    <w:next w:val="Normal"/>
    <w:autoRedefine/>
    <w:semiHidden/>
    <w:rsid w:val="00160985"/>
    <w:pPr>
      <w:ind w:left="800"/>
    </w:pPr>
  </w:style>
  <w:style w:type="paragraph" w:styleId="TOC8">
    <w:name w:val="toc 8"/>
    <w:basedOn w:val="Normal"/>
    <w:next w:val="Normal"/>
    <w:autoRedefine/>
    <w:semiHidden/>
    <w:rsid w:val="00160985"/>
    <w:pPr>
      <w:ind w:left="1120"/>
    </w:pPr>
  </w:style>
  <w:style w:type="paragraph" w:styleId="TOC9">
    <w:name w:val="toc 9"/>
    <w:basedOn w:val="Normal"/>
    <w:next w:val="Normal"/>
    <w:autoRedefine/>
    <w:semiHidden/>
    <w:rsid w:val="00160985"/>
    <w:pPr>
      <w:ind w:left="1280"/>
    </w:pPr>
  </w:style>
  <w:style w:type="paragraph" w:styleId="Header">
    <w:name w:val="header"/>
    <w:basedOn w:val="Normal"/>
    <w:rsid w:val="0016098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60985"/>
    <w:pPr>
      <w:ind w:left="0"/>
    </w:pPr>
    <w:rPr>
      <w:sz w:val="28"/>
    </w:rPr>
  </w:style>
  <w:style w:type="paragraph" w:customStyle="1" w:styleId="Family">
    <w:name w:val="Family"/>
    <w:basedOn w:val="Order"/>
    <w:rsid w:val="00160985"/>
  </w:style>
  <w:style w:type="paragraph" w:styleId="Footer">
    <w:name w:val="footer"/>
    <w:basedOn w:val="Normal"/>
    <w:rsid w:val="001609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0985"/>
  </w:style>
  <w:style w:type="paragraph" w:customStyle="1" w:styleId="Hierarchy">
    <w:name w:val="Hierarchy"/>
    <w:basedOn w:val="Normal"/>
    <w:rsid w:val="00160985"/>
    <w:pPr>
      <w:ind w:left="0"/>
    </w:pPr>
  </w:style>
  <w:style w:type="paragraph" w:customStyle="1" w:styleId="Genus">
    <w:name w:val="Genus"/>
    <w:basedOn w:val="Normal"/>
    <w:rsid w:val="0016098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60985"/>
    <w:pPr>
      <w:spacing w:after="120"/>
    </w:pPr>
  </w:style>
  <w:style w:type="paragraph" w:customStyle="1" w:styleId="Synonyms">
    <w:name w:val="Synonyms"/>
    <w:basedOn w:val="Genus"/>
    <w:rsid w:val="0016098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60985"/>
    <w:rPr>
      <w:b/>
    </w:rPr>
  </w:style>
  <w:style w:type="paragraph" w:styleId="Bibliography">
    <w:name w:val="Bibliography"/>
    <w:basedOn w:val="Normal"/>
    <w:rsid w:val="00160985"/>
    <w:pPr>
      <w:ind w:hanging="288"/>
    </w:pPr>
    <w:rPr>
      <w:b/>
    </w:rPr>
  </w:style>
  <w:style w:type="paragraph" w:customStyle="1" w:styleId="synonym">
    <w:name w:val="synonym"/>
    <w:basedOn w:val="Data"/>
    <w:rsid w:val="0016098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6098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2014-01-02T13:19:00Z</dcterms:created>
  <dcterms:modified xsi:type="dcterms:W3CDTF">2014-01-02T13:19:00Z</dcterms:modified>
</cp:coreProperties>
</file>