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8C" w:rsidRDefault="0018488C" w:rsidP="0018488C">
      <w:pPr>
        <w:pStyle w:val="Term"/>
      </w:pPr>
      <w:r w:rsidRPr="0018488C">
        <w:rPr>
          <w:b/>
        </w:rPr>
        <w:t>Chytridhaema</w:t>
      </w:r>
      <w:r>
        <w:t xml:space="preserve"> Moniez, </w:t>
      </w:r>
      <w:r w:rsidRPr="0018488C">
        <w:rPr>
          <w:i/>
        </w:rPr>
        <w:t>C. r. hebd. Séanc. Acad. Sci., Paris</w:t>
      </w:r>
      <w:r>
        <w:t xml:space="preserve"> </w:t>
      </w:r>
      <w:r w:rsidRPr="0018488C">
        <w:rPr>
          <w:b/>
        </w:rPr>
        <w:t>104</w:t>
      </w:r>
      <w:r>
        <w:t xml:space="preserve">: 184 (1887). – Type: </w:t>
      </w:r>
      <w:r w:rsidRPr="0018488C">
        <w:rPr>
          <w:i/>
        </w:rPr>
        <w:t>Chytri</w:t>
      </w:r>
      <w:r w:rsidRPr="0018488C">
        <w:rPr>
          <w:i/>
        </w:rPr>
        <w:t>d</w:t>
      </w:r>
      <w:r w:rsidRPr="0018488C">
        <w:rPr>
          <w:i/>
        </w:rPr>
        <w:t>haema cladocerarum</w:t>
      </w:r>
      <w:r>
        <w:t xml:space="preserve"> Moniez 1887 – [Fungi: Chytridiomycota: Incertae sedis: Chytridiom</w:t>
      </w:r>
      <w:r>
        <w:t>y</w:t>
      </w:r>
      <w:r>
        <w:t>cetes: Chytridiomycetidae: Olpidiales: Olpid</w:t>
      </w:r>
      <w:r>
        <w:t>i</w:t>
      </w:r>
      <w:r>
        <w:t>aceae].</w:t>
      </w:r>
    </w:p>
    <w:p w:rsidR="0018488C" w:rsidRDefault="0018488C" w:rsidP="0018488C">
      <w:pPr>
        <w:pStyle w:val="Term"/>
      </w:pPr>
      <w:r w:rsidRPr="0018488C">
        <w:rPr>
          <w:b/>
        </w:rPr>
        <w:t>Cibdelia</w:t>
      </w:r>
      <w:r>
        <w:t xml:space="preserve"> Juel, </w:t>
      </w:r>
      <w:r w:rsidRPr="0018488C">
        <w:rPr>
          <w:i/>
        </w:rPr>
        <w:t>Ark. Bot.</w:t>
      </w:r>
      <w:r>
        <w:t xml:space="preserve"> </w:t>
      </w:r>
      <w:r w:rsidRPr="0018488C">
        <w:rPr>
          <w:b/>
        </w:rPr>
        <w:t>19</w:t>
      </w:r>
      <w:r>
        <w:t xml:space="preserve"> (no. 20): 9 (1925). – Type: </w:t>
      </w:r>
      <w:r w:rsidRPr="0018488C">
        <w:rPr>
          <w:i/>
        </w:rPr>
        <w:t>Cibdelia infestans</w:t>
      </w:r>
      <w:r>
        <w:t xml:space="preserve"> Juel 1925 – [Fungi: Ch</w:t>
      </w:r>
      <w:r>
        <w:t>y</w:t>
      </w:r>
      <w:r>
        <w:t>tridiomycota: Incertae sedis: Chytridiomycetes: Chytridiomycetidae: Olpidiales: Olpidiaceae].</w:t>
      </w:r>
    </w:p>
    <w:p w:rsidR="0018488C" w:rsidRDefault="0018488C" w:rsidP="0018488C">
      <w:pPr>
        <w:pStyle w:val="Term"/>
      </w:pPr>
      <w:r w:rsidRPr="0018488C">
        <w:rPr>
          <w:b/>
        </w:rPr>
        <w:t>Nucleophaga</w:t>
      </w:r>
      <w:r>
        <w:t xml:space="preserve"> P.A. Dang., </w:t>
      </w:r>
      <w:r w:rsidRPr="0018488C">
        <w:rPr>
          <w:i/>
        </w:rPr>
        <w:t>Botaniste</w:t>
      </w:r>
      <w:r>
        <w:t xml:space="preserve"> </w:t>
      </w:r>
      <w:r w:rsidRPr="0018488C">
        <w:rPr>
          <w:b/>
        </w:rPr>
        <w:t>4</w:t>
      </w:r>
      <w:r>
        <w:t xml:space="preserve">: 214 (1895) [‘1894-1895’]. – Type: </w:t>
      </w:r>
      <w:r w:rsidRPr="0018488C">
        <w:rPr>
          <w:i/>
        </w:rPr>
        <w:t>Nucleophaga amoebae</w:t>
      </w:r>
      <w:r>
        <w:t xml:space="preserve"> P.A. Dang. 1896 </w:t>
      </w:r>
      <w:bookmarkStart w:id="0" w:name="SOS"/>
      <w:bookmarkEnd w:id="0"/>
      <w:r>
        <w:t>– [Fungi: Chytridiomycota: I</w:t>
      </w:r>
      <w:r>
        <w:t>n</w:t>
      </w:r>
      <w:r>
        <w:t>certae sedis: Chytridiomycetes: Chytridiomycet</w:t>
      </w:r>
      <w:r>
        <w:t>i</w:t>
      </w:r>
      <w:r>
        <w:t>dae: Olpidiales: Olpidiaceae].</w:t>
      </w:r>
    </w:p>
    <w:p w:rsidR="0018488C" w:rsidRDefault="0018488C" w:rsidP="0018488C">
      <w:pPr>
        <w:pStyle w:val="Term"/>
      </w:pPr>
      <w:r w:rsidRPr="0018488C">
        <w:rPr>
          <w:b/>
        </w:rPr>
        <w:t>Olpidium</w:t>
      </w:r>
      <w:r>
        <w:t xml:space="preserve"> (A. Braun) J. Schröt., </w:t>
      </w:r>
      <w:r w:rsidRPr="0018488C">
        <w:rPr>
          <w:i/>
        </w:rPr>
        <w:t>Krypt.-Fl. Schl</w:t>
      </w:r>
      <w:r w:rsidRPr="0018488C">
        <w:rPr>
          <w:i/>
        </w:rPr>
        <w:t>e</w:t>
      </w:r>
      <w:r w:rsidRPr="0018488C">
        <w:rPr>
          <w:i/>
        </w:rPr>
        <w:t>sien</w:t>
      </w:r>
      <w:r>
        <w:t xml:space="preserve"> (Breslau) </w:t>
      </w:r>
      <w:r w:rsidRPr="0018488C">
        <w:rPr>
          <w:b/>
        </w:rPr>
        <w:t>3.1</w:t>
      </w:r>
      <w:r>
        <w:t xml:space="preserve"> (1–8): 180 (1886) [‘1889’]. – Type: </w:t>
      </w:r>
      <w:r w:rsidRPr="0018488C">
        <w:rPr>
          <w:i/>
        </w:rPr>
        <w:t>Olpidium endogenum</w:t>
      </w:r>
      <w:r>
        <w:t xml:space="preserve"> (A. Braun) J. Schröt. 1886 – [Fungi: Chytridiomycota: Incertae sedis: Chytridiomycetes: Chytridiomycetidae: Olpidi</w:t>
      </w:r>
      <w:r>
        <w:t>a</w:t>
      </w:r>
      <w:r>
        <w:t>les: Olpidiaceae].</w:t>
      </w:r>
    </w:p>
    <w:p w:rsidR="00623A51" w:rsidRPr="000C7C11" w:rsidRDefault="00623A51" w:rsidP="0018488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8C" w:rsidRDefault="0018488C">
      <w:r>
        <w:separator/>
      </w:r>
    </w:p>
  </w:endnote>
  <w:endnote w:type="continuationSeparator" w:id="0">
    <w:p w:rsidR="0018488C" w:rsidRDefault="0018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8C" w:rsidRDefault="0018488C">
      <w:r>
        <w:separator/>
      </w:r>
    </w:p>
  </w:footnote>
  <w:footnote w:type="continuationSeparator" w:id="0">
    <w:p w:rsidR="0018488C" w:rsidRDefault="0018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B02C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B02C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8488C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B02C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B02C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B02C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B02CF"/>
    <w:pPr>
      <w:ind w:left="0"/>
    </w:pPr>
  </w:style>
  <w:style w:type="paragraph" w:customStyle="1" w:styleId="Name">
    <w:name w:val="Name"/>
    <w:basedOn w:val="Normal"/>
    <w:rsid w:val="00FB02C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B02C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B02C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B02CF"/>
    <w:pPr>
      <w:outlineLvl w:val="4"/>
    </w:pPr>
    <w:rPr>
      <w:sz w:val="20"/>
    </w:rPr>
  </w:style>
  <w:style w:type="paragraph" w:customStyle="1" w:styleId="Data">
    <w:name w:val="Data"/>
    <w:basedOn w:val="Normal"/>
    <w:rsid w:val="00FB02C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B02CF"/>
    <w:pPr>
      <w:ind w:left="960"/>
    </w:pPr>
  </w:style>
  <w:style w:type="paragraph" w:styleId="TOC2">
    <w:name w:val="toc 2"/>
    <w:basedOn w:val="Normal"/>
    <w:next w:val="Normal"/>
    <w:autoRedefine/>
    <w:semiHidden/>
    <w:rsid w:val="00FB02CF"/>
    <w:pPr>
      <w:ind w:left="160"/>
    </w:pPr>
  </w:style>
  <w:style w:type="paragraph" w:styleId="TOC3">
    <w:name w:val="toc 3"/>
    <w:basedOn w:val="Normal"/>
    <w:next w:val="Normal"/>
    <w:autoRedefine/>
    <w:semiHidden/>
    <w:rsid w:val="00FB02CF"/>
    <w:pPr>
      <w:ind w:left="320"/>
    </w:pPr>
  </w:style>
  <w:style w:type="paragraph" w:styleId="TOC4">
    <w:name w:val="toc 4"/>
    <w:basedOn w:val="Normal"/>
    <w:next w:val="Normal"/>
    <w:autoRedefine/>
    <w:semiHidden/>
    <w:rsid w:val="00FB02CF"/>
    <w:pPr>
      <w:ind w:left="480"/>
    </w:pPr>
  </w:style>
  <w:style w:type="paragraph" w:styleId="TOC5">
    <w:name w:val="toc 5"/>
    <w:basedOn w:val="Normal"/>
    <w:next w:val="Normal"/>
    <w:autoRedefine/>
    <w:semiHidden/>
    <w:rsid w:val="00FB02CF"/>
    <w:pPr>
      <w:ind w:left="640"/>
    </w:pPr>
  </w:style>
  <w:style w:type="paragraph" w:styleId="TOC6">
    <w:name w:val="toc 6"/>
    <w:basedOn w:val="Normal"/>
    <w:next w:val="Normal"/>
    <w:autoRedefine/>
    <w:semiHidden/>
    <w:rsid w:val="00FB02CF"/>
    <w:pPr>
      <w:ind w:left="800"/>
    </w:pPr>
  </w:style>
  <w:style w:type="paragraph" w:styleId="TOC8">
    <w:name w:val="toc 8"/>
    <w:basedOn w:val="Normal"/>
    <w:next w:val="Normal"/>
    <w:autoRedefine/>
    <w:semiHidden/>
    <w:rsid w:val="00FB02CF"/>
    <w:pPr>
      <w:ind w:left="1120"/>
    </w:pPr>
  </w:style>
  <w:style w:type="paragraph" w:styleId="TOC9">
    <w:name w:val="toc 9"/>
    <w:basedOn w:val="Normal"/>
    <w:next w:val="Normal"/>
    <w:autoRedefine/>
    <w:semiHidden/>
    <w:rsid w:val="00FB02CF"/>
    <w:pPr>
      <w:ind w:left="1280"/>
    </w:pPr>
  </w:style>
  <w:style w:type="paragraph" w:styleId="Header">
    <w:name w:val="header"/>
    <w:basedOn w:val="Normal"/>
    <w:rsid w:val="00FB02C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B02CF"/>
    <w:pPr>
      <w:ind w:left="0"/>
    </w:pPr>
    <w:rPr>
      <w:sz w:val="28"/>
    </w:rPr>
  </w:style>
  <w:style w:type="paragraph" w:customStyle="1" w:styleId="Family">
    <w:name w:val="Family"/>
    <w:basedOn w:val="Order"/>
    <w:rsid w:val="00FB02CF"/>
  </w:style>
  <w:style w:type="paragraph" w:styleId="Footer">
    <w:name w:val="footer"/>
    <w:basedOn w:val="Normal"/>
    <w:rsid w:val="00FB0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02CF"/>
  </w:style>
  <w:style w:type="paragraph" w:customStyle="1" w:styleId="Hierarchy">
    <w:name w:val="Hierarchy"/>
    <w:basedOn w:val="Normal"/>
    <w:rsid w:val="00FB02CF"/>
    <w:pPr>
      <w:ind w:left="0"/>
    </w:pPr>
  </w:style>
  <w:style w:type="paragraph" w:customStyle="1" w:styleId="Genus">
    <w:name w:val="Genus"/>
    <w:basedOn w:val="Normal"/>
    <w:rsid w:val="00FB02C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B02CF"/>
    <w:pPr>
      <w:spacing w:after="120"/>
    </w:pPr>
  </w:style>
  <w:style w:type="paragraph" w:customStyle="1" w:styleId="Synonyms">
    <w:name w:val="Synonyms"/>
    <w:basedOn w:val="Genus"/>
    <w:rsid w:val="00FB02C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B02CF"/>
    <w:rPr>
      <w:b/>
    </w:rPr>
  </w:style>
  <w:style w:type="paragraph" w:styleId="Bibliography">
    <w:name w:val="Bibliography"/>
    <w:basedOn w:val="Normal"/>
    <w:rsid w:val="00FB02CF"/>
    <w:pPr>
      <w:ind w:hanging="288"/>
    </w:pPr>
    <w:rPr>
      <w:b/>
    </w:rPr>
  </w:style>
  <w:style w:type="paragraph" w:customStyle="1" w:styleId="synonym">
    <w:name w:val="synonym"/>
    <w:basedOn w:val="Data"/>
    <w:rsid w:val="00FB02C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B02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2014-01-02T13:13:00Z</dcterms:created>
  <dcterms:modified xsi:type="dcterms:W3CDTF">2014-01-02T13:13:00Z</dcterms:modified>
</cp:coreProperties>
</file>