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40" w:rsidRDefault="005A1240" w:rsidP="005A1240">
      <w:pPr>
        <w:pStyle w:val="Term"/>
      </w:pPr>
      <w:r w:rsidRPr="005A1240">
        <w:rPr>
          <w:b/>
        </w:rPr>
        <w:t>Anaeromyces</w:t>
      </w:r>
      <w:r>
        <w:t xml:space="preserve"> Breton, Bernalier, Dusser, Fonty, B. Gaillard &amp; J. Guillot, </w:t>
      </w:r>
      <w:r w:rsidRPr="005A1240">
        <w:rPr>
          <w:i/>
        </w:rPr>
        <w:t>FEMS Microbiol. Lett.</w:t>
      </w:r>
      <w:r>
        <w:t xml:space="preserve"> </w:t>
      </w:r>
      <w:r w:rsidRPr="005A1240">
        <w:rPr>
          <w:b/>
        </w:rPr>
        <w:t>70</w:t>
      </w:r>
      <w:r>
        <w:t xml:space="preserve">: 181 (1990). – Type: </w:t>
      </w:r>
      <w:r w:rsidRPr="005A1240">
        <w:rPr>
          <w:i/>
        </w:rPr>
        <w:t>Anaeromyces mucronatus</w:t>
      </w:r>
      <w:r>
        <w:t xml:space="preserve"> Breton, Bernalier, Dusser, Fonty, B. Gaillard &amp; J. Guillot 1990 – [Fungi: Chytridiomycota: Incertae sedis: Neocallimastigomycetes: Incertae sedis: Neocallimastigales: Neocallimastigaceae].</w:t>
      </w:r>
    </w:p>
    <w:p w:rsidR="005A1240" w:rsidRDefault="005A1240" w:rsidP="005A1240">
      <w:pPr>
        <w:pStyle w:val="Term"/>
      </w:pPr>
      <w:r w:rsidRPr="005A1240">
        <w:rPr>
          <w:b/>
        </w:rPr>
        <w:t>Caecomyces</w:t>
      </w:r>
      <w:r>
        <w:t xml:space="preserve"> J.J. Gold, </w:t>
      </w:r>
      <w:r w:rsidRPr="005A1240">
        <w:rPr>
          <w:i/>
        </w:rPr>
        <w:t>BioSystems</w:t>
      </w:r>
      <w:r>
        <w:t xml:space="preserve"> </w:t>
      </w:r>
      <w:r w:rsidRPr="005A1240">
        <w:rPr>
          <w:b/>
        </w:rPr>
        <w:t>21</w:t>
      </w:r>
      <w:r>
        <w:t xml:space="preserve"> (3-4): 411 (1988). – Type: </w:t>
      </w:r>
      <w:r w:rsidRPr="005A1240">
        <w:rPr>
          <w:i/>
        </w:rPr>
        <w:t>Caecomyces equi</w:t>
      </w:r>
      <w:r>
        <w:t xml:space="preserve"> J.J. Gold 1988 – [Fungi: Chytridiomycota: Incertae sedis: Ne</w:t>
      </w:r>
      <w:r>
        <w:t>o</w:t>
      </w:r>
      <w:r>
        <w:t>callimastigomycetes: Incertae sedis: Neocallima</w:t>
      </w:r>
      <w:r>
        <w:t>s</w:t>
      </w:r>
      <w:r>
        <w:t>tigales: Neocallimastigaceae].</w:t>
      </w:r>
    </w:p>
    <w:p w:rsidR="005A1240" w:rsidRDefault="005A1240" w:rsidP="005A1240">
      <w:pPr>
        <w:pStyle w:val="Term"/>
      </w:pPr>
      <w:r w:rsidRPr="005A1240">
        <w:rPr>
          <w:b/>
        </w:rPr>
        <w:t>Neocallimastix</w:t>
      </w:r>
      <w:r>
        <w:t xml:space="preserve"> Vávra &amp; Joyon ex I.B. Heath, </w:t>
      </w:r>
      <w:r w:rsidRPr="005A1240">
        <w:rPr>
          <w:i/>
        </w:rPr>
        <w:t>Can. J. Bot.</w:t>
      </w:r>
      <w:r>
        <w:t xml:space="preserve"> </w:t>
      </w:r>
      <w:r w:rsidRPr="005A1240">
        <w:rPr>
          <w:b/>
        </w:rPr>
        <w:t>61</w:t>
      </w:r>
      <w:r>
        <w:t xml:space="preserve"> (1): 304 (1983). – Type: </w:t>
      </w:r>
      <w:r w:rsidRPr="005A1240">
        <w:rPr>
          <w:i/>
        </w:rPr>
        <w:t>Neocallimastix frontalis</w:t>
      </w:r>
      <w:r>
        <w:t xml:space="preserve"> (R.A. Braune) Vavra &amp; Joyon ex I.B. Heath 1983 – [Fungi: Chytridiomycota: Incertae sedis: Neocallimastigomycetes: Incertae sedis: Neocallimastigales: Neocallimastigaceae].</w:t>
      </w:r>
    </w:p>
    <w:p w:rsidR="005A1240" w:rsidRDefault="005A1240" w:rsidP="005A1240">
      <w:pPr>
        <w:pStyle w:val="Term"/>
      </w:pPr>
      <w:r w:rsidRPr="005A1240">
        <w:rPr>
          <w:b/>
        </w:rPr>
        <w:t>Orpinomyces</w:t>
      </w:r>
      <w:r>
        <w:t xml:space="preserve"> D.J.S. Barr, H. Kudo, Jakober &amp; K.J. Cheng, </w:t>
      </w:r>
      <w:r w:rsidRPr="005A1240">
        <w:rPr>
          <w:i/>
        </w:rPr>
        <w:t>Can. J. Bot.</w:t>
      </w:r>
      <w:r>
        <w:t xml:space="preserve"> </w:t>
      </w:r>
      <w:r w:rsidRPr="005A1240">
        <w:rPr>
          <w:b/>
        </w:rPr>
        <w:t>67</w:t>
      </w:r>
      <w:r>
        <w:t xml:space="preserve"> (9): 2819 (1989). – Type: </w:t>
      </w:r>
      <w:r w:rsidRPr="005A1240">
        <w:rPr>
          <w:i/>
        </w:rPr>
        <w:t>Orpinomyces bovis</w:t>
      </w:r>
      <w:r>
        <w:t xml:space="preserve"> D.J.S. Barr, H. Kudo, Jakober &amp; K.J. Cheng 1989 </w:t>
      </w:r>
      <w:bookmarkStart w:id="0" w:name="SOS"/>
      <w:bookmarkEnd w:id="0"/>
      <w:r>
        <w:t>– [Fungi: Chytridiomycota: Incertae sedis: Neocallimastigomycetes: Incertae sedis: Neocallimastigales: Neocallimastigaceae].</w:t>
      </w:r>
    </w:p>
    <w:p w:rsidR="005A1240" w:rsidRDefault="005A1240" w:rsidP="005A1240">
      <w:pPr>
        <w:pStyle w:val="Term"/>
      </w:pPr>
      <w:r w:rsidRPr="005A1240">
        <w:rPr>
          <w:b/>
        </w:rPr>
        <w:t>Piromyces</w:t>
      </w:r>
      <w:r>
        <w:t xml:space="preserve"> J.J. Gold, I.B. Heath &amp; Bauchop, </w:t>
      </w:r>
      <w:r w:rsidRPr="005A1240">
        <w:rPr>
          <w:i/>
        </w:rPr>
        <w:t>Bi</w:t>
      </w:r>
      <w:r w:rsidRPr="005A1240">
        <w:rPr>
          <w:i/>
        </w:rPr>
        <w:t>o</w:t>
      </w:r>
      <w:r w:rsidRPr="005A1240">
        <w:rPr>
          <w:i/>
        </w:rPr>
        <w:t>Systems</w:t>
      </w:r>
      <w:r>
        <w:t xml:space="preserve"> </w:t>
      </w:r>
      <w:r w:rsidRPr="005A1240">
        <w:rPr>
          <w:b/>
        </w:rPr>
        <w:t>21</w:t>
      </w:r>
      <w:r>
        <w:t xml:space="preserve"> (3-4): 411 (1988). – Type: </w:t>
      </w:r>
      <w:r w:rsidRPr="005A1240">
        <w:rPr>
          <w:i/>
        </w:rPr>
        <w:t>Piromyces communis</w:t>
      </w:r>
      <w:r>
        <w:t xml:space="preserve"> J.J. Gold, I.B. Heath &amp; Bauchop 1988 – [Fungi: Chytridiomycota: Incertae sedis: Ne</w:t>
      </w:r>
      <w:r>
        <w:t>o</w:t>
      </w:r>
      <w:r>
        <w:t>callimastigomycetes: Incertae sedis: Neocallima</w:t>
      </w:r>
      <w:r>
        <w:t>s</w:t>
      </w:r>
      <w:r>
        <w:t>tigales: Neocallimastigaceae].</w:t>
      </w:r>
    </w:p>
    <w:p w:rsidR="00623A51" w:rsidRPr="000C7C11" w:rsidRDefault="00623A51" w:rsidP="005A124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40" w:rsidRDefault="005A1240">
      <w:r>
        <w:separator/>
      </w:r>
    </w:p>
  </w:endnote>
  <w:endnote w:type="continuationSeparator" w:id="0">
    <w:p w:rsidR="005A1240" w:rsidRDefault="005A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40" w:rsidRDefault="005A1240">
      <w:r>
        <w:separator/>
      </w:r>
    </w:p>
  </w:footnote>
  <w:footnote w:type="continuationSeparator" w:id="0">
    <w:p w:rsidR="005A1240" w:rsidRDefault="005A1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E21B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E21B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A1240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E21B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E21B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E21B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E21BA"/>
    <w:pPr>
      <w:ind w:left="0"/>
    </w:pPr>
  </w:style>
  <w:style w:type="paragraph" w:customStyle="1" w:styleId="Name">
    <w:name w:val="Name"/>
    <w:basedOn w:val="Normal"/>
    <w:rsid w:val="00FE21B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E21B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E21B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E21BA"/>
    <w:pPr>
      <w:outlineLvl w:val="4"/>
    </w:pPr>
    <w:rPr>
      <w:sz w:val="20"/>
    </w:rPr>
  </w:style>
  <w:style w:type="paragraph" w:customStyle="1" w:styleId="Data">
    <w:name w:val="Data"/>
    <w:basedOn w:val="Normal"/>
    <w:rsid w:val="00FE21B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E21BA"/>
    <w:pPr>
      <w:ind w:left="960"/>
    </w:pPr>
  </w:style>
  <w:style w:type="paragraph" w:styleId="TOC2">
    <w:name w:val="toc 2"/>
    <w:basedOn w:val="Normal"/>
    <w:next w:val="Normal"/>
    <w:autoRedefine/>
    <w:semiHidden/>
    <w:rsid w:val="00FE21BA"/>
    <w:pPr>
      <w:ind w:left="160"/>
    </w:pPr>
  </w:style>
  <w:style w:type="paragraph" w:styleId="TOC3">
    <w:name w:val="toc 3"/>
    <w:basedOn w:val="Normal"/>
    <w:next w:val="Normal"/>
    <w:autoRedefine/>
    <w:semiHidden/>
    <w:rsid w:val="00FE21BA"/>
    <w:pPr>
      <w:ind w:left="320"/>
    </w:pPr>
  </w:style>
  <w:style w:type="paragraph" w:styleId="TOC4">
    <w:name w:val="toc 4"/>
    <w:basedOn w:val="Normal"/>
    <w:next w:val="Normal"/>
    <w:autoRedefine/>
    <w:semiHidden/>
    <w:rsid w:val="00FE21BA"/>
    <w:pPr>
      <w:ind w:left="480"/>
    </w:pPr>
  </w:style>
  <w:style w:type="paragraph" w:styleId="TOC5">
    <w:name w:val="toc 5"/>
    <w:basedOn w:val="Normal"/>
    <w:next w:val="Normal"/>
    <w:autoRedefine/>
    <w:semiHidden/>
    <w:rsid w:val="00FE21BA"/>
    <w:pPr>
      <w:ind w:left="640"/>
    </w:pPr>
  </w:style>
  <w:style w:type="paragraph" w:styleId="TOC6">
    <w:name w:val="toc 6"/>
    <w:basedOn w:val="Normal"/>
    <w:next w:val="Normal"/>
    <w:autoRedefine/>
    <w:semiHidden/>
    <w:rsid w:val="00FE21BA"/>
    <w:pPr>
      <w:ind w:left="800"/>
    </w:pPr>
  </w:style>
  <w:style w:type="paragraph" w:styleId="TOC8">
    <w:name w:val="toc 8"/>
    <w:basedOn w:val="Normal"/>
    <w:next w:val="Normal"/>
    <w:autoRedefine/>
    <w:semiHidden/>
    <w:rsid w:val="00FE21BA"/>
    <w:pPr>
      <w:ind w:left="1120"/>
    </w:pPr>
  </w:style>
  <w:style w:type="paragraph" w:styleId="TOC9">
    <w:name w:val="toc 9"/>
    <w:basedOn w:val="Normal"/>
    <w:next w:val="Normal"/>
    <w:autoRedefine/>
    <w:semiHidden/>
    <w:rsid w:val="00FE21BA"/>
    <w:pPr>
      <w:ind w:left="1280"/>
    </w:pPr>
  </w:style>
  <w:style w:type="paragraph" w:styleId="Header">
    <w:name w:val="header"/>
    <w:basedOn w:val="Normal"/>
    <w:rsid w:val="00FE21B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E21BA"/>
    <w:pPr>
      <w:ind w:left="0"/>
    </w:pPr>
    <w:rPr>
      <w:sz w:val="28"/>
    </w:rPr>
  </w:style>
  <w:style w:type="paragraph" w:customStyle="1" w:styleId="Family">
    <w:name w:val="Family"/>
    <w:basedOn w:val="Order"/>
    <w:rsid w:val="00FE21BA"/>
  </w:style>
  <w:style w:type="paragraph" w:styleId="Footer">
    <w:name w:val="footer"/>
    <w:basedOn w:val="Normal"/>
    <w:rsid w:val="00FE21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21BA"/>
  </w:style>
  <w:style w:type="paragraph" w:customStyle="1" w:styleId="Hierarchy">
    <w:name w:val="Hierarchy"/>
    <w:basedOn w:val="Normal"/>
    <w:rsid w:val="00FE21BA"/>
    <w:pPr>
      <w:ind w:left="0"/>
    </w:pPr>
  </w:style>
  <w:style w:type="paragraph" w:customStyle="1" w:styleId="Genus">
    <w:name w:val="Genus"/>
    <w:basedOn w:val="Normal"/>
    <w:rsid w:val="00FE21B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E21BA"/>
    <w:pPr>
      <w:spacing w:after="120"/>
    </w:pPr>
  </w:style>
  <w:style w:type="paragraph" w:customStyle="1" w:styleId="Synonyms">
    <w:name w:val="Synonyms"/>
    <w:basedOn w:val="Genus"/>
    <w:rsid w:val="00FE21B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E21BA"/>
    <w:rPr>
      <w:b/>
    </w:rPr>
  </w:style>
  <w:style w:type="paragraph" w:styleId="Bibliography">
    <w:name w:val="Bibliography"/>
    <w:basedOn w:val="Normal"/>
    <w:rsid w:val="00FE21BA"/>
    <w:pPr>
      <w:ind w:hanging="288"/>
    </w:pPr>
    <w:rPr>
      <w:b/>
    </w:rPr>
  </w:style>
  <w:style w:type="paragraph" w:customStyle="1" w:styleId="synonym">
    <w:name w:val="synonym"/>
    <w:basedOn w:val="Data"/>
    <w:rsid w:val="00FE21B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E21B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2014-01-02T13:13:00Z</dcterms:created>
  <dcterms:modified xsi:type="dcterms:W3CDTF">2014-01-02T13:13:00Z</dcterms:modified>
</cp:coreProperties>
</file>