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B0" w:rsidRDefault="00C220B0" w:rsidP="00C220B0">
      <w:pPr>
        <w:pStyle w:val="Term"/>
      </w:pPr>
      <w:r w:rsidRPr="00C220B0">
        <w:rPr>
          <w:b/>
        </w:rPr>
        <w:t>Actidium</w:t>
      </w:r>
      <w:r>
        <w:t xml:space="preserve"> Fr., </w:t>
      </w:r>
      <w:r w:rsidRPr="00C220B0">
        <w:rPr>
          <w:i/>
        </w:rPr>
        <w:t>Observ. mycol.</w:t>
      </w:r>
      <w:r>
        <w:t xml:space="preserve"> (Havniae) </w:t>
      </w:r>
      <w:r w:rsidRPr="00C220B0">
        <w:rPr>
          <w:b/>
        </w:rPr>
        <w:t>1</w:t>
      </w:r>
      <w:r>
        <w:t xml:space="preserve">: 190 (1815). – Type: </w:t>
      </w:r>
      <w:r w:rsidRPr="00C220B0">
        <w:rPr>
          <w:i/>
        </w:rPr>
        <w:t>Actidium hysterioides</w:t>
      </w:r>
      <w:r>
        <w:t xml:space="preserve"> Fr. 1818 – [Fungi: Ascomycota: Pezizomycotina: Dothide</w:t>
      </w:r>
      <w:r>
        <w:t>o</w:t>
      </w:r>
      <w:r>
        <w:t>mycetes: Incertae sedis: Mytilinidiales: Mytilinidiaceae].</w:t>
      </w:r>
    </w:p>
    <w:p w:rsidR="00C220B0" w:rsidRDefault="00C220B0" w:rsidP="00C220B0">
      <w:pPr>
        <w:pStyle w:val="Term"/>
      </w:pPr>
      <w:r w:rsidRPr="00C220B0">
        <w:rPr>
          <w:b/>
        </w:rPr>
        <w:t>Camaroglobulus</w:t>
      </w:r>
      <w:r>
        <w:t xml:space="preserve"> Speer, </w:t>
      </w:r>
      <w:r w:rsidRPr="00C220B0">
        <w:rPr>
          <w:i/>
        </w:rPr>
        <w:t>Bull. trimest. Soc. mycol. Fr.</w:t>
      </w:r>
      <w:r>
        <w:t xml:space="preserve"> </w:t>
      </w:r>
      <w:r w:rsidRPr="00C220B0">
        <w:rPr>
          <w:b/>
        </w:rPr>
        <w:t>102</w:t>
      </w:r>
      <w:r>
        <w:t xml:space="preserve">: 100 (1986). – Type: </w:t>
      </w:r>
      <w:r w:rsidRPr="00C220B0">
        <w:rPr>
          <w:i/>
        </w:rPr>
        <w:t>Camaroglobulus resinae</w:t>
      </w:r>
      <w:r>
        <w:t xml:space="preserve"> Speer 1986 – [Fungi: Ascomycota: P</w:t>
      </w:r>
      <w:r>
        <w:t>e</w:t>
      </w:r>
      <w:r>
        <w:t>zizomycotina: Dothideomycetes: Pleosporomyce</w:t>
      </w:r>
      <w:r>
        <w:t>t</w:t>
      </w:r>
      <w:r>
        <w:t>idae: Mytilinidiales: Mytilinidiaceae].</w:t>
      </w:r>
    </w:p>
    <w:p w:rsidR="00C220B0" w:rsidRDefault="00C220B0" w:rsidP="00C220B0">
      <w:pPr>
        <w:pStyle w:val="Term"/>
      </w:pPr>
      <w:r w:rsidRPr="00C220B0">
        <w:rPr>
          <w:b/>
        </w:rPr>
        <w:t>Cenococcum</w:t>
      </w:r>
      <w:r>
        <w:t xml:space="preserve"> Moug. &amp; Fr., </w:t>
      </w:r>
      <w:r w:rsidRPr="00C220B0">
        <w:rPr>
          <w:i/>
        </w:rPr>
        <w:t>Syst. mycol.</w:t>
      </w:r>
      <w:r>
        <w:t xml:space="preserve"> (Lundae) </w:t>
      </w:r>
      <w:r w:rsidRPr="00C220B0">
        <w:rPr>
          <w:b/>
        </w:rPr>
        <w:t>3</w:t>
      </w:r>
      <w:r>
        <w:t xml:space="preserve"> (1): 65 (1829). – Type: </w:t>
      </w:r>
      <w:r w:rsidRPr="00C220B0">
        <w:rPr>
          <w:i/>
        </w:rPr>
        <w:t>Cenococcum geophilum</w:t>
      </w:r>
      <w:r>
        <w:t xml:space="preserve"> Fr. 1829 – [Fungi: Ascomycota: Pezizomycotina: Dothideomycetes: Incertae sedis: Mytilinidiales: Gloniaceae].</w:t>
      </w:r>
    </w:p>
    <w:p w:rsidR="00C220B0" w:rsidRDefault="00C220B0" w:rsidP="00C220B0">
      <w:pPr>
        <w:pStyle w:val="Term"/>
      </w:pPr>
      <w:r w:rsidRPr="00C220B0">
        <w:rPr>
          <w:b/>
        </w:rPr>
        <w:t>Glonium</w:t>
      </w:r>
      <w:r>
        <w:t xml:space="preserve"> Muhl., </w:t>
      </w:r>
      <w:r w:rsidRPr="00C220B0">
        <w:rPr>
          <w:i/>
        </w:rPr>
        <w:t>Cat. Pl. Amer. Sept.</w:t>
      </w:r>
      <w:r>
        <w:t xml:space="preserve">: 101 (1813). – Type: </w:t>
      </w:r>
      <w:r w:rsidRPr="00C220B0">
        <w:rPr>
          <w:i/>
        </w:rPr>
        <w:t>Glonium stellatum</w:t>
      </w:r>
      <w:r>
        <w:t xml:space="preserve"> Muhl. 1813 – [Fungi: Ascomycota: Pezizomycotina: Dothideomycetes: Incertae sedis: Mytilinidiales: Gloniaceae].</w:t>
      </w:r>
    </w:p>
    <w:p w:rsidR="00C220B0" w:rsidRDefault="00C220B0" w:rsidP="00C220B0">
      <w:pPr>
        <w:pStyle w:val="Term"/>
      </w:pPr>
      <w:r w:rsidRPr="00C220B0">
        <w:rPr>
          <w:b/>
        </w:rPr>
        <w:t>Lophium</w:t>
      </w:r>
      <w:r>
        <w:t xml:space="preserve"> Fr., </w:t>
      </w:r>
      <w:r w:rsidRPr="00C220B0">
        <w:rPr>
          <w:i/>
        </w:rPr>
        <w:t>Observ. mycol.</w:t>
      </w:r>
      <w:r>
        <w:t xml:space="preserve"> (Havniae) </w:t>
      </w:r>
      <w:r w:rsidRPr="00C220B0">
        <w:rPr>
          <w:b/>
        </w:rPr>
        <w:t>2</w:t>
      </w:r>
      <w:r>
        <w:t xml:space="preserve">: 345 (1818). – Type: </w:t>
      </w:r>
      <w:r w:rsidRPr="00C220B0">
        <w:rPr>
          <w:i/>
        </w:rPr>
        <w:t>Lophium mytilinum</w:t>
      </w:r>
      <w:r>
        <w:t xml:space="preserve"> (Pers.) Fr. 1818 – [Fungi: Ascomycota: Pezizomycotina: D</w:t>
      </w:r>
      <w:r>
        <w:t>o</w:t>
      </w:r>
      <w:r>
        <w:t>thideomycetes: Incertae sedis: Mytilinidiales: Mytilinidiaceae].</w:t>
      </w:r>
    </w:p>
    <w:p w:rsidR="00C220B0" w:rsidRDefault="00C220B0" w:rsidP="00C220B0">
      <w:pPr>
        <w:pStyle w:val="Term"/>
      </w:pPr>
      <w:r w:rsidRPr="00C220B0">
        <w:rPr>
          <w:b/>
        </w:rPr>
        <w:t>Mytilinidion</w:t>
      </w:r>
      <w:r>
        <w:t xml:space="preserve"> Duby, </w:t>
      </w:r>
      <w:r w:rsidRPr="00C220B0">
        <w:rPr>
          <w:i/>
        </w:rPr>
        <w:t>Mém. Soc. Phys. Hist. nat. Genève</w:t>
      </w:r>
      <w:r>
        <w:t xml:space="preserve"> </w:t>
      </w:r>
      <w:r w:rsidRPr="00C220B0">
        <w:rPr>
          <w:b/>
        </w:rPr>
        <w:t>16</w:t>
      </w:r>
      <w:r>
        <w:t xml:space="preserve"> (1): 34 (1861) [‘1862’]. – Type: </w:t>
      </w:r>
      <w:r w:rsidRPr="00C220B0">
        <w:rPr>
          <w:i/>
        </w:rPr>
        <w:t>Mytilinidion aggregatum</w:t>
      </w:r>
      <w:r>
        <w:t xml:space="preserve"> (DC.) Duby 1862 – [Fungi: Ascomycota: Pezizomycotina: Dothide</w:t>
      </w:r>
      <w:r>
        <w:t>o</w:t>
      </w:r>
      <w:r>
        <w:t>mycetes: Incertae sedis: Mytilinidiales: Mytilinidiaceae].</w:t>
      </w:r>
    </w:p>
    <w:p w:rsidR="00C220B0" w:rsidRDefault="00C220B0" w:rsidP="00C220B0">
      <w:pPr>
        <w:pStyle w:val="Term"/>
      </w:pPr>
      <w:r w:rsidRPr="00C220B0">
        <w:rPr>
          <w:b/>
        </w:rPr>
        <w:t>Ostreola</w:t>
      </w:r>
      <w:r>
        <w:t xml:space="preserve"> Darker, </w:t>
      </w:r>
      <w:r w:rsidRPr="00C220B0">
        <w:rPr>
          <w:i/>
        </w:rPr>
        <w:t>Can. J. Bot.</w:t>
      </w:r>
      <w:r>
        <w:t xml:space="preserve"> </w:t>
      </w:r>
      <w:r w:rsidRPr="00C220B0">
        <w:rPr>
          <w:b/>
        </w:rPr>
        <w:t>41</w:t>
      </w:r>
      <w:r>
        <w:t xml:space="preserve">: 1383 (1963). – Type: </w:t>
      </w:r>
      <w:r w:rsidRPr="00C220B0">
        <w:rPr>
          <w:i/>
        </w:rPr>
        <w:t>Ostreola consociata</w:t>
      </w:r>
      <w:r>
        <w:t xml:space="preserve"> Darker 1963 – [Fungi: Ascomycota: Pezizomycotina: Dothideomycetes: Incertae sedis: Mytilinidiales: Mytilinidiaceae].</w:t>
      </w:r>
    </w:p>
    <w:p w:rsidR="00C220B0" w:rsidRDefault="00C220B0" w:rsidP="00C220B0">
      <w:pPr>
        <w:pStyle w:val="Term"/>
      </w:pPr>
      <w:r w:rsidRPr="00C220B0">
        <w:rPr>
          <w:b/>
        </w:rPr>
        <w:t>Quasiconcha</w:t>
      </w:r>
      <w:r>
        <w:t xml:space="preserve"> M.E. Barr &amp; M. Blackw., </w:t>
      </w:r>
      <w:r w:rsidRPr="00C220B0">
        <w:rPr>
          <w:i/>
        </w:rPr>
        <w:t>Mycologia</w:t>
      </w:r>
      <w:r>
        <w:t xml:space="preserve"> </w:t>
      </w:r>
      <w:r w:rsidRPr="00C220B0">
        <w:rPr>
          <w:b/>
        </w:rPr>
        <w:t>72</w:t>
      </w:r>
      <w:r>
        <w:t xml:space="preserve"> (6): 1224 (1981) [‘1980’]. – Type: </w:t>
      </w:r>
      <w:r w:rsidRPr="00C220B0">
        <w:rPr>
          <w:i/>
        </w:rPr>
        <w:t>Quasico</w:t>
      </w:r>
      <w:r w:rsidRPr="00C220B0">
        <w:rPr>
          <w:i/>
        </w:rPr>
        <w:t>n</w:t>
      </w:r>
      <w:r w:rsidRPr="00C220B0">
        <w:rPr>
          <w:i/>
        </w:rPr>
        <w:t>cha reticulata</w:t>
      </w:r>
      <w:r>
        <w:t xml:space="preserve"> M.E. Barr &amp; M. Blackw. 1981 </w:t>
      </w:r>
      <w:bookmarkStart w:id="0" w:name="SOS"/>
      <w:bookmarkEnd w:id="0"/>
      <w:r>
        <w:t>– [Fungi: Ascomycota: Pezizomycotina: Dothide</w:t>
      </w:r>
      <w:r>
        <w:t>o</w:t>
      </w:r>
      <w:r>
        <w:t>mycetes: Incertae sedis: Mytilinidiales: Mytilinidiaceae].</w:t>
      </w:r>
    </w:p>
    <w:p w:rsidR="00C220B0" w:rsidRDefault="00C220B0" w:rsidP="00C220B0">
      <w:pPr>
        <w:pStyle w:val="Term"/>
      </w:pPr>
      <w:r w:rsidRPr="00C220B0">
        <w:rPr>
          <w:b/>
        </w:rPr>
        <w:t>Taeniolella</w:t>
      </w:r>
      <w:r>
        <w:t xml:space="preserve"> S. Hughes, </w:t>
      </w:r>
      <w:r w:rsidRPr="00C220B0">
        <w:rPr>
          <w:i/>
        </w:rPr>
        <w:t>Can. J. Bot.</w:t>
      </w:r>
      <w:r>
        <w:t xml:space="preserve"> </w:t>
      </w:r>
      <w:r w:rsidRPr="00C220B0">
        <w:rPr>
          <w:b/>
        </w:rPr>
        <w:t>36</w:t>
      </w:r>
      <w:r>
        <w:t xml:space="preserve">: 816 (1958). – Type: </w:t>
      </w:r>
      <w:r w:rsidRPr="00C220B0">
        <w:rPr>
          <w:i/>
        </w:rPr>
        <w:t>Taeniolella exilis</w:t>
      </w:r>
      <w:r>
        <w:t xml:space="preserve"> (P. Karst.) S. Hughes 1958 – [Fungi: Ascomycota: Pezizomycotina: D</w:t>
      </w:r>
      <w:r>
        <w:t>o</w:t>
      </w:r>
      <w:r>
        <w:t>thideomycetes: Pleosporomycetidae: Mytilinidi</w:t>
      </w:r>
      <w:r>
        <w:t>a</w:t>
      </w:r>
      <w:r>
        <w:t>les: Mytilinidiaceae].</w:t>
      </w:r>
    </w:p>
    <w:p w:rsidR="00623A51" w:rsidRPr="000C7C11" w:rsidRDefault="00623A51" w:rsidP="00C220B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B0" w:rsidRDefault="00C220B0">
      <w:r>
        <w:separator/>
      </w:r>
    </w:p>
  </w:endnote>
  <w:endnote w:type="continuationSeparator" w:id="0">
    <w:p w:rsidR="00C220B0" w:rsidRDefault="00C2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B0" w:rsidRDefault="00C220B0">
      <w:r>
        <w:separator/>
      </w:r>
    </w:p>
  </w:footnote>
  <w:footnote w:type="continuationSeparator" w:id="0">
    <w:p w:rsidR="00C220B0" w:rsidRDefault="00C2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4076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4076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40768"/>
    <w:rsid w:val="0078319F"/>
    <w:rsid w:val="007B0B8B"/>
    <w:rsid w:val="00842E37"/>
    <w:rsid w:val="008E1953"/>
    <w:rsid w:val="00C220B0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4076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4076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4076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40768"/>
    <w:pPr>
      <w:ind w:left="0"/>
    </w:pPr>
  </w:style>
  <w:style w:type="paragraph" w:customStyle="1" w:styleId="Name">
    <w:name w:val="Name"/>
    <w:basedOn w:val="Normal"/>
    <w:rsid w:val="0074076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4076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4076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40768"/>
    <w:pPr>
      <w:outlineLvl w:val="4"/>
    </w:pPr>
    <w:rPr>
      <w:sz w:val="20"/>
    </w:rPr>
  </w:style>
  <w:style w:type="paragraph" w:customStyle="1" w:styleId="Data">
    <w:name w:val="Data"/>
    <w:basedOn w:val="Normal"/>
    <w:rsid w:val="0074076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40768"/>
    <w:pPr>
      <w:ind w:left="960"/>
    </w:pPr>
  </w:style>
  <w:style w:type="paragraph" w:styleId="TOC2">
    <w:name w:val="toc 2"/>
    <w:basedOn w:val="Normal"/>
    <w:next w:val="Normal"/>
    <w:autoRedefine/>
    <w:semiHidden/>
    <w:rsid w:val="00740768"/>
    <w:pPr>
      <w:ind w:left="160"/>
    </w:pPr>
  </w:style>
  <w:style w:type="paragraph" w:styleId="TOC3">
    <w:name w:val="toc 3"/>
    <w:basedOn w:val="Normal"/>
    <w:next w:val="Normal"/>
    <w:autoRedefine/>
    <w:semiHidden/>
    <w:rsid w:val="00740768"/>
    <w:pPr>
      <w:ind w:left="320"/>
    </w:pPr>
  </w:style>
  <w:style w:type="paragraph" w:styleId="TOC4">
    <w:name w:val="toc 4"/>
    <w:basedOn w:val="Normal"/>
    <w:next w:val="Normal"/>
    <w:autoRedefine/>
    <w:semiHidden/>
    <w:rsid w:val="00740768"/>
    <w:pPr>
      <w:ind w:left="480"/>
    </w:pPr>
  </w:style>
  <w:style w:type="paragraph" w:styleId="TOC5">
    <w:name w:val="toc 5"/>
    <w:basedOn w:val="Normal"/>
    <w:next w:val="Normal"/>
    <w:autoRedefine/>
    <w:semiHidden/>
    <w:rsid w:val="00740768"/>
    <w:pPr>
      <w:ind w:left="640"/>
    </w:pPr>
  </w:style>
  <w:style w:type="paragraph" w:styleId="TOC6">
    <w:name w:val="toc 6"/>
    <w:basedOn w:val="Normal"/>
    <w:next w:val="Normal"/>
    <w:autoRedefine/>
    <w:semiHidden/>
    <w:rsid w:val="00740768"/>
    <w:pPr>
      <w:ind w:left="800"/>
    </w:pPr>
  </w:style>
  <w:style w:type="paragraph" w:styleId="TOC8">
    <w:name w:val="toc 8"/>
    <w:basedOn w:val="Normal"/>
    <w:next w:val="Normal"/>
    <w:autoRedefine/>
    <w:semiHidden/>
    <w:rsid w:val="00740768"/>
    <w:pPr>
      <w:ind w:left="1120"/>
    </w:pPr>
  </w:style>
  <w:style w:type="paragraph" w:styleId="TOC9">
    <w:name w:val="toc 9"/>
    <w:basedOn w:val="Normal"/>
    <w:next w:val="Normal"/>
    <w:autoRedefine/>
    <w:semiHidden/>
    <w:rsid w:val="00740768"/>
    <w:pPr>
      <w:ind w:left="1280"/>
    </w:pPr>
  </w:style>
  <w:style w:type="paragraph" w:styleId="Header">
    <w:name w:val="header"/>
    <w:basedOn w:val="Normal"/>
    <w:rsid w:val="0074076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40768"/>
    <w:pPr>
      <w:ind w:left="0"/>
    </w:pPr>
    <w:rPr>
      <w:sz w:val="28"/>
    </w:rPr>
  </w:style>
  <w:style w:type="paragraph" w:customStyle="1" w:styleId="Family">
    <w:name w:val="Family"/>
    <w:basedOn w:val="Order"/>
    <w:rsid w:val="00740768"/>
  </w:style>
  <w:style w:type="paragraph" w:styleId="Footer">
    <w:name w:val="footer"/>
    <w:basedOn w:val="Normal"/>
    <w:rsid w:val="007407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0768"/>
  </w:style>
  <w:style w:type="paragraph" w:customStyle="1" w:styleId="Hierarchy">
    <w:name w:val="Hierarchy"/>
    <w:basedOn w:val="Normal"/>
    <w:rsid w:val="00740768"/>
    <w:pPr>
      <w:ind w:left="0"/>
    </w:pPr>
  </w:style>
  <w:style w:type="paragraph" w:customStyle="1" w:styleId="Genus">
    <w:name w:val="Genus"/>
    <w:basedOn w:val="Normal"/>
    <w:rsid w:val="0074076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40768"/>
    <w:pPr>
      <w:spacing w:after="120"/>
    </w:pPr>
  </w:style>
  <w:style w:type="paragraph" w:customStyle="1" w:styleId="Synonyms">
    <w:name w:val="Synonyms"/>
    <w:basedOn w:val="Genus"/>
    <w:rsid w:val="0074076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40768"/>
    <w:rPr>
      <w:b/>
    </w:rPr>
  </w:style>
  <w:style w:type="paragraph" w:styleId="Bibliography">
    <w:name w:val="Bibliography"/>
    <w:basedOn w:val="Normal"/>
    <w:rsid w:val="00740768"/>
    <w:pPr>
      <w:ind w:hanging="288"/>
    </w:pPr>
    <w:rPr>
      <w:b/>
    </w:rPr>
  </w:style>
  <w:style w:type="paragraph" w:customStyle="1" w:styleId="synonym">
    <w:name w:val="synonym"/>
    <w:basedOn w:val="Data"/>
    <w:rsid w:val="0074076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4076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2014-01-02T13:12:00Z</dcterms:created>
  <dcterms:modified xsi:type="dcterms:W3CDTF">2014-01-02T13:12:00Z</dcterms:modified>
</cp:coreProperties>
</file>