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D2" w:rsidRDefault="00CD54D2" w:rsidP="00CD54D2">
      <w:pPr>
        <w:pStyle w:val="Term"/>
      </w:pPr>
      <w:r w:rsidRPr="00CD54D2">
        <w:rPr>
          <w:b/>
        </w:rPr>
        <w:t>Chaenothecopsis</w:t>
      </w:r>
      <w:r>
        <w:t xml:space="preserve"> Vain., </w:t>
      </w:r>
      <w:r w:rsidRPr="00CD54D2">
        <w:rPr>
          <w:i/>
        </w:rPr>
        <w:t>Acta Soc. Fauna Flora fenn.</w:t>
      </w:r>
      <w:r>
        <w:t xml:space="preserve"> </w:t>
      </w:r>
      <w:r w:rsidRPr="00CD54D2">
        <w:rPr>
          <w:b/>
        </w:rPr>
        <w:t>57</w:t>
      </w:r>
      <w:r>
        <w:t xml:space="preserve"> (no. 1): 70 (1927). – Type: </w:t>
      </w:r>
      <w:r w:rsidRPr="00CD54D2">
        <w:rPr>
          <w:i/>
        </w:rPr>
        <w:t>Chaenoth</w:t>
      </w:r>
      <w:r w:rsidRPr="00CD54D2">
        <w:rPr>
          <w:i/>
        </w:rPr>
        <w:t>e</w:t>
      </w:r>
      <w:r w:rsidRPr="00CD54D2">
        <w:rPr>
          <w:i/>
        </w:rPr>
        <w:t>copsis rubescens</w:t>
      </w:r>
      <w:r>
        <w:t xml:space="preserve"> Vain. 1927 – [Fungi: Ascom</w:t>
      </w:r>
      <w:r>
        <w:t>y</w:t>
      </w:r>
      <w:r>
        <w:t>cota: Pezizomycotina: Eurotiomycetes: Mycocal</w:t>
      </w:r>
      <w:r>
        <w:t>i</w:t>
      </w:r>
      <w:r>
        <w:t>ciomycetidae: Mycocaliciales: Mycocaliciaceae].</w:t>
      </w:r>
    </w:p>
    <w:p w:rsidR="00CD54D2" w:rsidRDefault="00CD54D2" w:rsidP="00CD54D2">
      <w:pPr>
        <w:pStyle w:val="Term"/>
      </w:pPr>
      <w:r w:rsidRPr="00CD54D2">
        <w:rPr>
          <w:b/>
        </w:rPr>
        <w:t>Mycocalicium</w:t>
      </w:r>
      <w:r>
        <w:t xml:space="preserve"> Vain., </w:t>
      </w:r>
      <w:r w:rsidRPr="00CD54D2">
        <w:rPr>
          <w:i/>
        </w:rPr>
        <w:t>Acta Soc. Fauna Flora fenn.</w:t>
      </w:r>
      <w:r>
        <w:t xml:space="preserve"> </w:t>
      </w:r>
      <w:r w:rsidRPr="00CD54D2">
        <w:rPr>
          <w:b/>
        </w:rPr>
        <w:t>7</w:t>
      </w:r>
      <w:r>
        <w:t xml:space="preserve"> (no. 2): 182 (1890). – Type: </w:t>
      </w:r>
      <w:r w:rsidRPr="00CD54D2">
        <w:rPr>
          <w:i/>
        </w:rPr>
        <w:t>Mycocalicium p</w:t>
      </w:r>
      <w:r w:rsidRPr="00CD54D2">
        <w:rPr>
          <w:i/>
        </w:rPr>
        <w:t>a</w:t>
      </w:r>
      <w:r w:rsidRPr="00CD54D2">
        <w:rPr>
          <w:i/>
        </w:rPr>
        <w:t>rietinum</w:t>
      </w:r>
      <w:r>
        <w:t xml:space="preserve"> (Ach.) Vain. 1890 – [Fungi: Ascom</w:t>
      </w:r>
      <w:r>
        <w:t>y</w:t>
      </w:r>
      <w:r>
        <w:t>cota: Pezizomycotina: Eurotiomycetes: Mycocal</w:t>
      </w:r>
      <w:r>
        <w:t>i</w:t>
      </w:r>
      <w:r>
        <w:t>ciomycetidae: Mycocaliciales: Mycocaliciaceae].</w:t>
      </w:r>
    </w:p>
    <w:p w:rsidR="00CD54D2" w:rsidRDefault="00CD54D2" w:rsidP="00CD54D2">
      <w:pPr>
        <w:pStyle w:val="Term"/>
      </w:pPr>
      <w:r w:rsidRPr="00CD54D2">
        <w:rPr>
          <w:b/>
        </w:rPr>
        <w:t>Phaeocalicium</w:t>
      </w:r>
      <w:r>
        <w:t xml:space="preserve"> A.F.W. Schmidt, </w:t>
      </w:r>
      <w:r w:rsidRPr="00CD54D2">
        <w:rPr>
          <w:i/>
        </w:rPr>
        <w:t>Mitt. Staatsinst. Allg. Bot. Hamburg</w:t>
      </w:r>
      <w:r>
        <w:t xml:space="preserve"> </w:t>
      </w:r>
      <w:r w:rsidRPr="00CD54D2">
        <w:rPr>
          <w:b/>
        </w:rPr>
        <w:t>13</w:t>
      </w:r>
      <w:r>
        <w:t xml:space="preserve">: 128 (1970). – Type: </w:t>
      </w:r>
      <w:r w:rsidRPr="00CD54D2">
        <w:rPr>
          <w:i/>
        </w:rPr>
        <w:t>Phaeocalicium praecedens</w:t>
      </w:r>
      <w:r>
        <w:t xml:space="preserve"> (Nyl.) A.F.W. Schmidt 1970 – [Fungi: Ascomycota: Pezizom</w:t>
      </w:r>
      <w:r>
        <w:t>y</w:t>
      </w:r>
      <w:r>
        <w:t>cotina: Eurotiomycetes: Mycocaliciomycetidae: Mycocaliciales: Mycocaliciaceae].</w:t>
      </w:r>
    </w:p>
    <w:p w:rsidR="00CD54D2" w:rsidRDefault="00CD54D2" w:rsidP="00CD54D2">
      <w:pPr>
        <w:pStyle w:val="Term"/>
      </w:pPr>
      <w:r w:rsidRPr="00CD54D2">
        <w:rPr>
          <w:b/>
        </w:rPr>
        <w:t>Pyrgidium</w:t>
      </w:r>
      <w:r>
        <w:t xml:space="preserve"> Nyl., </w:t>
      </w:r>
      <w:r w:rsidRPr="00CD54D2">
        <w:rPr>
          <w:i/>
        </w:rPr>
        <w:t>Flora</w:t>
      </w:r>
      <w:r>
        <w:t xml:space="preserve"> Jena </w:t>
      </w:r>
      <w:r w:rsidRPr="00CD54D2">
        <w:rPr>
          <w:b/>
        </w:rPr>
        <w:t>50</w:t>
      </w:r>
      <w:r>
        <w:t xml:space="preserve">: 3 (1867). – Type: </w:t>
      </w:r>
      <w:r w:rsidRPr="00CD54D2">
        <w:rPr>
          <w:i/>
        </w:rPr>
        <w:t>Pyrgidium bengaliense</w:t>
      </w:r>
      <w:r>
        <w:t xml:space="preserve"> Nyl. 1867 – [Fungi: A</w:t>
      </w:r>
      <w:r>
        <w:t>s</w:t>
      </w:r>
      <w:r>
        <w:t>comycota: Pezizomycotina: Eurotiomycetes: M</w:t>
      </w:r>
      <w:r>
        <w:t>y</w:t>
      </w:r>
      <w:r>
        <w:t>cocaliciomycetidae: Mycocaliciales: Sphinctrin</w:t>
      </w:r>
      <w:r>
        <w:t>a</w:t>
      </w:r>
      <w:r>
        <w:t>ceae].</w:t>
      </w:r>
    </w:p>
    <w:p w:rsidR="00CD54D2" w:rsidRDefault="00CD54D2" w:rsidP="00CD54D2">
      <w:pPr>
        <w:pStyle w:val="Term"/>
      </w:pPr>
      <w:r w:rsidRPr="00CD54D2">
        <w:rPr>
          <w:b/>
        </w:rPr>
        <w:t>Sphinctrina</w:t>
      </w:r>
      <w:r>
        <w:t xml:space="preserve"> Fr., </w:t>
      </w:r>
      <w:r w:rsidRPr="00CD54D2">
        <w:rPr>
          <w:i/>
        </w:rPr>
        <w:t>Syst. orb. veg.</w:t>
      </w:r>
      <w:r>
        <w:t xml:space="preserve"> (Lundae) </w:t>
      </w:r>
      <w:r w:rsidRPr="00CD54D2">
        <w:rPr>
          <w:b/>
        </w:rPr>
        <w:t>1</w:t>
      </w:r>
      <w:r>
        <w:t xml:space="preserve">: 120 (1825). – Type: </w:t>
      </w:r>
      <w:r w:rsidRPr="00CD54D2">
        <w:rPr>
          <w:i/>
        </w:rPr>
        <w:t>Sphinctrina turbinata</w:t>
      </w:r>
      <w:r>
        <w:t xml:space="preserve"> (Pers.) De Not. 1846 </w:t>
      </w:r>
      <w:bookmarkStart w:id="0" w:name="SOS"/>
      <w:bookmarkEnd w:id="0"/>
      <w:r>
        <w:t>– [Fungi: Ascomycota: Pezizom</w:t>
      </w:r>
      <w:r>
        <w:t>y</w:t>
      </w:r>
      <w:r>
        <w:t>cotina: Eurotiomycetes: Mycocaliciomycetidae: Mycocaliciales: Sphinctrinaceae].</w:t>
      </w:r>
    </w:p>
    <w:p w:rsidR="00CD54D2" w:rsidRDefault="00CD54D2" w:rsidP="00CD54D2">
      <w:pPr>
        <w:pStyle w:val="Term"/>
      </w:pPr>
      <w:r w:rsidRPr="00CD54D2">
        <w:rPr>
          <w:b/>
        </w:rPr>
        <w:t>Stenocybe</w:t>
      </w:r>
      <w:r>
        <w:t xml:space="preserve"> Nyl. ex Körb., </w:t>
      </w:r>
      <w:r w:rsidRPr="00CD54D2">
        <w:rPr>
          <w:i/>
        </w:rPr>
        <w:t>Syst. lich. germ.</w:t>
      </w:r>
      <w:r>
        <w:t xml:space="preserve"> (Bre</w:t>
      </w:r>
      <w:r>
        <w:t>s</w:t>
      </w:r>
      <w:r>
        <w:t xml:space="preserve">lau): 306 (1855). – Type: </w:t>
      </w:r>
      <w:r w:rsidRPr="00CD54D2">
        <w:rPr>
          <w:i/>
        </w:rPr>
        <w:t>Stenocybe byssacea</w:t>
      </w:r>
      <w:r>
        <w:t xml:space="preserve"> (Fr.) Nyl. ex Körb. 1855 – [Fungi: Ascomycota: Pezizomycotina: Eurotiomycetes: Mycocalici</w:t>
      </w:r>
      <w:r>
        <w:t>o</w:t>
      </w:r>
      <w:r>
        <w:t>mycetidae: Mycocaliciales: Mycocaliciaceae].</w:t>
      </w:r>
    </w:p>
    <w:p w:rsidR="00623A51" w:rsidRPr="000C7C11" w:rsidRDefault="00623A51" w:rsidP="00CD54D2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4D2" w:rsidRDefault="00CD54D2">
      <w:r>
        <w:separator/>
      </w:r>
    </w:p>
  </w:endnote>
  <w:endnote w:type="continuationSeparator" w:id="0">
    <w:p w:rsidR="00CD54D2" w:rsidRDefault="00CD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4D2" w:rsidRDefault="00CD54D2">
      <w:r>
        <w:separator/>
      </w:r>
    </w:p>
  </w:footnote>
  <w:footnote w:type="continuationSeparator" w:id="0">
    <w:p w:rsidR="00CD54D2" w:rsidRDefault="00CD5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9C74B4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9C74B4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9C74B4"/>
    <w:rsid w:val="00C24D95"/>
    <w:rsid w:val="00C4162A"/>
    <w:rsid w:val="00CD54D2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9C74B4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9C74B4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9C74B4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C74B4"/>
    <w:pPr>
      <w:ind w:left="0"/>
    </w:pPr>
  </w:style>
  <w:style w:type="paragraph" w:customStyle="1" w:styleId="Name">
    <w:name w:val="Name"/>
    <w:basedOn w:val="Normal"/>
    <w:rsid w:val="009C74B4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9C74B4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9C74B4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9C74B4"/>
    <w:pPr>
      <w:outlineLvl w:val="4"/>
    </w:pPr>
    <w:rPr>
      <w:sz w:val="20"/>
    </w:rPr>
  </w:style>
  <w:style w:type="paragraph" w:customStyle="1" w:styleId="Data">
    <w:name w:val="Data"/>
    <w:basedOn w:val="Normal"/>
    <w:rsid w:val="009C74B4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9C74B4"/>
    <w:pPr>
      <w:ind w:left="960"/>
    </w:pPr>
  </w:style>
  <w:style w:type="paragraph" w:styleId="TOC2">
    <w:name w:val="toc 2"/>
    <w:basedOn w:val="Normal"/>
    <w:next w:val="Normal"/>
    <w:autoRedefine/>
    <w:semiHidden/>
    <w:rsid w:val="009C74B4"/>
    <w:pPr>
      <w:ind w:left="160"/>
    </w:pPr>
  </w:style>
  <w:style w:type="paragraph" w:styleId="TOC3">
    <w:name w:val="toc 3"/>
    <w:basedOn w:val="Normal"/>
    <w:next w:val="Normal"/>
    <w:autoRedefine/>
    <w:semiHidden/>
    <w:rsid w:val="009C74B4"/>
    <w:pPr>
      <w:ind w:left="320"/>
    </w:pPr>
  </w:style>
  <w:style w:type="paragraph" w:styleId="TOC4">
    <w:name w:val="toc 4"/>
    <w:basedOn w:val="Normal"/>
    <w:next w:val="Normal"/>
    <w:autoRedefine/>
    <w:semiHidden/>
    <w:rsid w:val="009C74B4"/>
    <w:pPr>
      <w:ind w:left="480"/>
    </w:pPr>
  </w:style>
  <w:style w:type="paragraph" w:styleId="TOC5">
    <w:name w:val="toc 5"/>
    <w:basedOn w:val="Normal"/>
    <w:next w:val="Normal"/>
    <w:autoRedefine/>
    <w:semiHidden/>
    <w:rsid w:val="009C74B4"/>
    <w:pPr>
      <w:ind w:left="640"/>
    </w:pPr>
  </w:style>
  <w:style w:type="paragraph" w:styleId="TOC6">
    <w:name w:val="toc 6"/>
    <w:basedOn w:val="Normal"/>
    <w:next w:val="Normal"/>
    <w:autoRedefine/>
    <w:semiHidden/>
    <w:rsid w:val="009C74B4"/>
    <w:pPr>
      <w:ind w:left="800"/>
    </w:pPr>
  </w:style>
  <w:style w:type="paragraph" w:styleId="TOC8">
    <w:name w:val="toc 8"/>
    <w:basedOn w:val="Normal"/>
    <w:next w:val="Normal"/>
    <w:autoRedefine/>
    <w:semiHidden/>
    <w:rsid w:val="009C74B4"/>
    <w:pPr>
      <w:ind w:left="1120"/>
    </w:pPr>
  </w:style>
  <w:style w:type="paragraph" w:styleId="TOC9">
    <w:name w:val="toc 9"/>
    <w:basedOn w:val="Normal"/>
    <w:next w:val="Normal"/>
    <w:autoRedefine/>
    <w:semiHidden/>
    <w:rsid w:val="009C74B4"/>
    <w:pPr>
      <w:ind w:left="1280"/>
    </w:pPr>
  </w:style>
  <w:style w:type="paragraph" w:styleId="Header">
    <w:name w:val="header"/>
    <w:basedOn w:val="Normal"/>
    <w:rsid w:val="009C74B4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9C74B4"/>
    <w:pPr>
      <w:ind w:left="0"/>
    </w:pPr>
    <w:rPr>
      <w:sz w:val="28"/>
    </w:rPr>
  </w:style>
  <w:style w:type="paragraph" w:customStyle="1" w:styleId="Family">
    <w:name w:val="Family"/>
    <w:basedOn w:val="Order"/>
    <w:rsid w:val="009C74B4"/>
  </w:style>
  <w:style w:type="paragraph" w:styleId="Footer">
    <w:name w:val="footer"/>
    <w:basedOn w:val="Normal"/>
    <w:rsid w:val="009C74B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C74B4"/>
  </w:style>
  <w:style w:type="paragraph" w:customStyle="1" w:styleId="Hierarchy">
    <w:name w:val="Hierarchy"/>
    <w:basedOn w:val="Normal"/>
    <w:rsid w:val="009C74B4"/>
    <w:pPr>
      <w:ind w:left="0"/>
    </w:pPr>
  </w:style>
  <w:style w:type="paragraph" w:customStyle="1" w:styleId="Genus">
    <w:name w:val="Genus"/>
    <w:basedOn w:val="Normal"/>
    <w:rsid w:val="009C74B4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9C74B4"/>
    <w:pPr>
      <w:spacing w:after="120"/>
    </w:pPr>
  </w:style>
  <w:style w:type="paragraph" w:customStyle="1" w:styleId="Synonyms">
    <w:name w:val="Synonyms"/>
    <w:basedOn w:val="Genus"/>
    <w:rsid w:val="009C74B4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9C74B4"/>
    <w:rPr>
      <w:b/>
    </w:rPr>
  </w:style>
  <w:style w:type="paragraph" w:styleId="Bibliography">
    <w:name w:val="Bibliography"/>
    <w:basedOn w:val="Normal"/>
    <w:rsid w:val="009C74B4"/>
    <w:pPr>
      <w:ind w:hanging="288"/>
    </w:pPr>
    <w:rPr>
      <w:b/>
    </w:rPr>
  </w:style>
  <w:style w:type="paragraph" w:customStyle="1" w:styleId="synonym">
    <w:name w:val="synonym"/>
    <w:basedOn w:val="Data"/>
    <w:rsid w:val="009C74B4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9C74B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141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2014-01-02T13:12:00Z</dcterms:created>
  <dcterms:modified xsi:type="dcterms:W3CDTF">2014-01-02T13:12:00Z</dcterms:modified>
</cp:coreProperties>
</file>