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15" w:rsidRDefault="00055615" w:rsidP="00055615">
      <w:pPr>
        <w:pStyle w:val="Term"/>
      </w:pPr>
      <w:r w:rsidRPr="00055615">
        <w:rPr>
          <w:b/>
        </w:rPr>
        <w:t>Calocera</w:t>
      </w:r>
      <w:r>
        <w:t xml:space="preserve"> (Fr.) Fr., </w:t>
      </w:r>
      <w:r w:rsidRPr="00055615">
        <w:rPr>
          <w:i/>
        </w:rPr>
        <w:t>Elench. fung.</w:t>
      </w:r>
      <w:r>
        <w:t xml:space="preserve"> (Greifswald) </w:t>
      </w:r>
      <w:r w:rsidRPr="00055615">
        <w:rPr>
          <w:b/>
        </w:rPr>
        <w:t>1</w:t>
      </w:r>
      <w:r>
        <w:t xml:space="preserve">: 233 (1828). – Type: </w:t>
      </w:r>
      <w:r w:rsidRPr="00055615">
        <w:rPr>
          <w:i/>
        </w:rPr>
        <w:t>Calocera viscosa</w:t>
      </w:r>
      <w:r>
        <w:t xml:space="preserve"> (Pers.) Fr. 1821 – [Fungi: Basidiomycota: Agaricomycotina: Dacrymycetes: Incertae sedis: Dacrymycetales: Dacrymycetaceae].</w:t>
      </w:r>
    </w:p>
    <w:p w:rsidR="00055615" w:rsidRDefault="00055615" w:rsidP="00055615">
      <w:pPr>
        <w:pStyle w:val="Term"/>
      </w:pPr>
      <w:r w:rsidRPr="00055615">
        <w:rPr>
          <w:b/>
        </w:rPr>
        <w:t>Cerinomyces</w:t>
      </w:r>
      <w:r>
        <w:t xml:space="preserve"> G.W. Martin, </w:t>
      </w:r>
      <w:r w:rsidRPr="00055615">
        <w:rPr>
          <w:i/>
        </w:rPr>
        <w:t>Mycologia</w:t>
      </w:r>
      <w:r>
        <w:t xml:space="preserve"> </w:t>
      </w:r>
      <w:r w:rsidRPr="00055615">
        <w:rPr>
          <w:b/>
        </w:rPr>
        <w:t>41</w:t>
      </w:r>
      <w:r>
        <w:t xml:space="preserve"> (1): 82 (1949). – Type: </w:t>
      </w:r>
      <w:r w:rsidRPr="00055615">
        <w:rPr>
          <w:i/>
        </w:rPr>
        <w:t>Cerinomyces pallidus</w:t>
      </w:r>
      <w:r>
        <w:t xml:space="preserve"> G.W. Ma</w:t>
      </w:r>
      <w:r>
        <w:t>r</w:t>
      </w:r>
      <w:r>
        <w:t>tin 1949 – [Fungi: Basidiomycota: Agaricom</w:t>
      </w:r>
      <w:r>
        <w:t>y</w:t>
      </w:r>
      <w:r>
        <w:t>cotina: Dacrymycetes: Incertae sedis: Dacrym</w:t>
      </w:r>
      <w:r>
        <w:t>y</w:t>
      </w:r>
      <w:r>
        <w:t>cetales: Dacrymycetaceae].</w:t>
      </w:r>
    </w:p>
    <w:p w:rsidR="00055615" w:rsidRDefault="00055615" w:rsidP="00055615">
      <w:pPr>
        <w:pStyle w:val="Term"/>
      </w:pPr>
      <w:r w:rsidRPr="00055615">
        <w:rPr>
          <w:b/>
        </w:rPr>
        <w:t>Cerinosterus</w:t>
      </w:r>
      <w:r>
        <w:t xml:space="preserve"> R.T. Moore, </w:t>
      </w:r>
      <w:r w:rsidRPr="00055615">
        <w:rPr>
          <w:i/>
        </w:rPr>
        <w:t>Stud. Mycol.</w:t>
      </w:r>
      <w:r>
        <w:t xml:space="preserve"> </w:t>
      </w:r>
      <w:r w:rsidRPr="00055615">
        <w:rPr>
          <w:b/>
        </w:rPr>
        <w:t>30</w:t>
      </w:r>
      <w:r>
        <w:t xml:space="preserve">: 216 (1987). – Type: </w:t>
      </w:r>
      <w:r w:rsidRPr="00055615">
        <w:rPr>
          <w:i/>
        </w:rPr>
        <w:t>Cerinosterus luteoalbus</w:t>
      </w:r>
      <w:r>
        <w:t xml:space="preserve"> (de Hoog) R.T. Moore 1987 – [Fungi: Basidiomycota: Agaricomycotina: Dacrymycetes: Incertae sedis: Dacrymycetales: Dacrymycetaceae].</w:t>
      </w:r>
    </w:p>
    <w:p w:rsidR="00055615" w:rsidRDefault="00055615" w:rsidP="00055615">
      <w:pPr>
        <w:pStyle w:val="Term"/>
      </w:pPr>
      <w:r w:rsidRPr="00055615">
        <w:rPr>
          <w:b/>
        </w:rPr>
        <w:t>Dacrymyces</w:t>
      </w:r>
      <w:r>
        <w:t xml:space="preserve"> Nees, </w:t>
      </w:r>
      <w:r w:rsidRPr="00055615">
        <w:rPr>
          <w:i/>
        </w:rPr>
        <w:t>Syst. Pilze</w:t>
      </w:r>
      <w:r>
        <w:t xml:space="preserve"> (Würzburg): 89 (1816) [‘1816-17’]. – Type: </w:t>
      </w:r>
      <w:r w:rsidRPr="00055615">
        <w:rPr>
          <w:i/>
        </w:rPr>
        <w:t>Dacrymyces stillatus</w:t>
      </w:r>
      <w:r>
        <w:t xml:space="preserve"> Nees 1816 – [Fungi: Basidiomycota: Agaricom</w:t>
      </w:r>
      <w:r>
        <w:t>y</w:t>
      </w:r>
      <w:r>
        <w:t>cotina: Dacrymycetes: Incertae sedis: Dacrym</w:t>
      </w:r>
      <w:r>
        <w:t>y</w:t>
      </w:r>
      <w:r>
        <w:t>cetales: Dacrymycetaceae].</w:t>
      </w:r>
    </w:p>
    <w:p w:rsidR="00055615" w:rsidRDefault="00055615" w:rsidP="00055615">
      <w:pPr>
        <w:pStyle w:val="Term"/>
      </w:pPr>
      <w:r w:rsidRPr="00055615">
        <w:rPr>
          <w:b/>
        </w:rPr>
        <w:t>Dacryonaema</w:t>
      </w:r>
      <w:r>
        <w:t xml:space="preserve"> Nannf., </w:t>
      </w:r>
      <w:r w:rsidRPr="00055615">
        <w:rPr>
          <w:i/>
        </w:rPr>
        <w:t>Svensk bot. Tidskr.</w:t>
      </w:r>
      <w:r>
        <w:t xml:space="preserve"> </w:t>
      </w:r>
      <w:r w:rsidRPr="00055615">
        <w:rPr>
          <w:b/>
        </w:rPr>
        <w:t>41</w:t>
      </w:r>
      <w:r>
        <w:t xml:space="preserve">: 336 (1947). – Type: </w:t>
      </w:r>
      <w:r w:rsidRPr="00055615">
        <w:rPr>
          <w:i/>
        </w:rPr>
        <w:t>Dacryonaema rufum</w:t>
      </w:r>
      <w:r>
        <w:t xml:space="preserve"> (Fr.) Nannf. 1947 – [Fungi: Basidiomycota: Agaricomycotina: Dacrymycetes: Incertae sedis: Dacrymycetales: Dacrymycetaceae].</w:t>
      </w:r>
    </w:p>
    <w:p w:rsidR="00055615" w:rsidRDefault="00055615" w:rsidP="00055615">
      <w:pPr>
        <w:pStyle w:val="Term"/>
      </w:pPr>
      <w:r w:rsidRPr="00055615">
        <w:rPr>
          <w:b/>
        </w:rPr>
        <w:t>Dacryopinax</w:t>
      </w:r>
      <w:r>
        <w:t xml:space="preserve"> G.W. Martin, </w:t>
      </w:r>
      <w:r w:rsidRPr="00055615">
        <w:rPr>
          <w:i/>
        </w:rPr>
        <w:t>Lloydia</w:t>
      </w:r>
      <w:r>
        <w:t xml:space="preserve"> </w:t>
      </w:r>
      <w:r w:rsidRPr="00055615">
        <w:rPr>
          <w:b/>
        </w:rPr>
        <w:t>11</w:t>
      </w:r>
      <w:r>
        <w:t xml:space="preserve">: 116 (1948). – Type: </w:t>
      </w:r>
      <w:r w:rsidRPr="00055615">
        <w:rPr>
          <w:i/>
        </w:rPr>
        <w:t>Dacryopinax elegans</w:t>
      </w:r>
      <w:r>
        <w:t xml:space="preserve"> (Berk. &amp; M.A. Cu</w:t>
      </w:r>
      <w:r>
        <w:t>r</w:t>
      </w:r>
      <w:r>
        <w:t>tis) G.W. Martin 1948 – [Fungi: Basidiomycota: Agaricomycotina: Dacrymycetes: Incertae sedis: Dacrymycetales: Dacrymycetaceae].</w:t>
      </w:r>
    </w:p>
    <w:p w:rsidR="00055615" w:rsidRDefault="00055615" w:rsidP="00055615">
      <w:pPr>
        <w:pStyle w:val="Term"/>
      </w:pPr>
      <w:r w:rsidRPr="00055615">
        <w:rPr>
          <w:b/>
        </w:rPr>
        <w:t>Ditiola</w:t>
      </w:r>
      <w:r>
        <w:t xml:space="preserve"> Fr., </w:t>
      </w:r>
      <w:r w:rsidRPr="00055615">
        <w:rPr>
          <w:i/>
        </w:rPr>
        <w:t>Syst. mycol.</w:t>
      </w:r>
      <w:r>
        <w:t xml:space="preserve"> (Lundae) </w:t>
      </w:r>
      <w:r w:rsidRPr="00055615">
        <w:rPr>
          <w:b/>
        </w:rPr>
        <w:t>2</w:t>
      </w:r>
      <w:r>
        <w:t xml:space="preserve"> (1): 39, 169 (1822). – Type: </w:t>
      </w:r>
      <w:r w:rsidRPr="00055615">
        <w:rPr>
          <w:i/>
        </w:rPr>
        <w:t>Ditiola radicata</w:t>
      </w:r>
      <w:r>
        <w:t xml:space="preserve"> (Alb. &amp; Schwein.) Fr. 1822 – [Fungi: Basidiomycota: Agaricomycotina: Dacrymycetes: Incertae sedis: Dacrymycetales: Dacrymycetaceae].</w:t>
      </w:r>
    </w:p>
    <w:p w:rsidR="00055615" w:rsidRDefault="00055615" w:rsidP="00055615">
      <w:pPr>
        <w:pStyle w:val="Term"/>
      </w:pPr>
      <w:r w:rsidRPr="00055615">
        <w:rPr>
          <w:b/>
        </w:rPr>
        <w:t>Guepiniopsis</w:t>
      </w:r>
      <w:r>
        <w:t xml:space="preserve"> Pat., </w:t>
      </w:r>
      <w:r w:rsidRPr="00055615">
        <w:rPr>
          <w:i/>
        </w:rPr>
        <w:t>Tab. analyt. Fung.</w:t>
      </w:r>
      <w:r>
        <w:t xml:space="preserve"> (Paris) (1): 27 (1883). – Type: </w:t>
      </w:r>
      <w:r w:rsidRPr="00055615">
        <w:rPr>
          <w:i/>
        </w:rPr>
        <w:t>Guepiniopsis tortus</w:t>
      </w:r>
      <w:r>
        <w:t xml:space="preserve"> Pat. 1883 </w:t>
      </w:r>
      <w:bookmarkStart w:id="0" w:name="SOS"/>
      <w:bookmarkEnd w:id="0"/>
      <w:r>
        <w:t>– [Fungi: Basidiomycota: Agaricomycotina: D</w:t>
      </w:r>
      <w:r>
        <w:t>a</w:t>
      </w:r>
      <w:r>
        <w:t>crymycetes: Incertae sedis: Dacrymycetales: D</w:t>
      </w:r>
      <w:r>
        <w:t>a</w:t>
      </w:r>
      <w:r>
        <w:t>crymycetaceae].</w:t>
      </w:r>
    </w:p>
    <w:p w:rsidR="00623A51" w:rsidRPr="000C7C11" w:rsidRDefault="00623A51" w:rsidP="0005561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15" w:rsidRDefault="00055615">
      <w:r>
        <w:separator/>
      </w:r>
    </w:p>
  </w:endnote>
  <w:endnote w:type="continuationSeparator" w:id="0">
    <w:p w:rsidR="00055615" w:rsidRDefault="0005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15" w:rsidRDefault="00055615">
      <w:r>
        <w:separator/>
      </w:r>
    </w:p>
  </w:footnote>
  <w:footnote w:type="continuationSeparator" w:id="0">
    <w:p w:rsidR="00055615" w:rsidRDefault="0005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F3E2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F3E2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55615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F3E2F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F3E2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F3E2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F3E2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F3E2F"/>
    <w:pPr>
      <w:ind w:left="0"/>
    </w:pPr>
  </w:style>
  <w:style w:type="paragraph" w:customStyle="1" w:styleId="Name">
    <w:name w:val="Name"/>
    <w:basedOn w:val="Normal"/>
    <w:rsid w:val="00BF3E2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F3E2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F3E2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F3E2F"/>
    <w:pPr>
      <w:outlineLvl w:val="4"/>
    </w:pPr>
    <w:rPr>
      <w:sz w:val="20"/>
    </w:rPr>
  </w:style>
  <w:style w:type="paragraph" w:customStyle="1" w:styleId="Data">
    <w:name w:val="Data"/>
    <w:basedOn w:val="Normal"/>
    <w:rsid w:val="00BF3E2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F3E2F"/>
    <w:pPr>
      <w:ind w:left="960"/>
    </w:pPr>
  </w:style>
  <w:style w:type="paragraph" w:styleId="TOC2">
    <w:name w:val="toc 2"/>
    <w:basedOn w:val="Normal"/>
    <w:next w:val="Normal"/>
    <w:autoRedefine/>
    <w:semiHidden/>
    <w:rsid w:val="00BF3E2F"/>
    <w:pPr>
      <w:ind w:left="160"/>
    </w:pPr>
  </w:style>
  <w:style w:type="paragraph" w:styleId="TOC3">
    <w:name w:val="toc 3"/>
    <w:basedOn w:val="Normal"/>
    <w:next w:val="Normal"/>
    <w:autoRedefine/>
    <w:semiHidden/>
    <w:rsid w:val="00BF3E2F"/>
    <w:pPr>
      <w:ind w:left="320"/>
    </w:pPr>
  </w:style>
  <w:style w:type="paragraph" w:styleId="TOC4">
    <w:name w:val="toc 4"/>
    <w:basedOn w:val="Normal"/>
    <w:next w:val="Normal"/>
    <w:autoRedefine/>
    <w:semiHidden/>
    <w:rsid w:val="00BF3E2F"/>
    <w:pPr>
      <w:ind w:left="480"/>
    </w:pPr>
  </w:style>
  <w:style w:type="paragraph" w:styleId="TOC5">
    <w:name w:val="toc 5"/>
    <w:basedOn w:val="Normal"/>
    <w:next w:val="Normal"/>
    <w:autoRedefine/>
    <w:semiHidden/>
    <w:rsid w:val="00BF3E2F"/>
    <w:pPr>
      <w:ind w:left="640"/>
    </w:pPr>
  </w:style>
  <w:style w:type="paragraph" w:styleId="TOC6">
    <w:name w:val="toc 6"/>
    <w:basedOn w:val="Normal"/>
    <w:next w:val="Normal"/>
    <w:autoRedefine/>
    <w:semiHidden/>
    <w:rsid w:val="00BF3E2F"/>
    <w:pPr>
      <w:ind w:left="800"/>
    </w:pPr>
  </w:style>
  <w:style w:type="paragraph" w:styleId="TOC8">
    <w:name w:val="toc 8"/>
    <w:basedOn w:val="Normal"/>
    <w:next w:val="Normal"/>
    <w:autoRedefine/>
    <w:semiHidden/>
    <w:rsid w:val="00BF3E2F"/>
    <w:pPr>
      <w:ind w:left="1120"/>
    </w:pPr>
  </w:style>
  <w:style w:type="paragraph" w:styleId="TOC9">
    <w:name w:val="toc 9"/>
    <w:basedOn w:val="Normal"/>
    <w:next w:val="Normal"/>
    <w:autoRedefine/>
    <w:semiHidden/>
    <w:rsid w:val="00BF3E2F"/>
    <w:pPr>
      <w:ind w:left="1280"/>
    </w:pPr>
  </w:style>
  <w:style w:type="paragraph" w:styleId="Header">
    <w:name w:val="header"/>
    <w:basedOn w:val="Normal"/>
    <w:rsid w:val="00BF3E2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F3E2F"/>
    <w:pPr>
      <w:ind w:left="0"/>
    </w:pPr>
    <w:rPr>
      <w:sz w:val="28"/>
    </w:rPr>
  </w:style>
  <w:style w:type="paragraph" w:customStyle="1" w:styleId="Family">
    <w:name w:val="Family"/>
    <w:basedOn w:val="Order"/>
    <w:rsid w:val="00BF3E2F"/>
  </w:style>
  <w:style w:type="paragraph" w:styleId="Footer">
    <w:name w:val="footer"/>
    <w:basedOn w:val="Normal"/>
    <w:rsid w:val="00BF3E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3E2F"/>
  </w:style>
  <w:style w:type="paragraph" w:customStyle="1" w:styleId="Hierarchy">
    <w:name w:val="Hierarchy"/>
    <w:basedOn w:val="Normal"/>
    <w:rsid w:val="00BF3E2F"/>
    <w:pPr>
      <w:ind w:left="0"/>
    </w:pPr>
  </w:style>
  <w:style w:type="paragraph" w:customStyle="1" w:styleId="Genus">
    <w:name w:val="Genus"/>
    <w:basedOn w:val="Normal"/>
    <w:rsid w:val="00BF3E2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F3E2F"/>
    <w:pPr>
      <w:spacing w:after="120"/>
    </w:pPr>
  </w:style>
  <w:style w:type="paragraph" w:customStyle="1" w:styleId="Synonyms">
    <w:name w:val="Synonyms"/>
    <w:basedOn w:val="Genus"/>
    <w:rsid w:val="00BF3E2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F3E2F"/>
    <w:rPr>
      <w:b/>
    </w:rPr>
  </w:style>
  <w:style w:type="paragraph" w:styleId="Bibliography">
    <w:name w:val="Bibliography"/>
    <w:basedOn w:val="Normal"/>
    <w:rsid w:val="00BF3E2F"/>
    <w:pPr>
      <w:ind w:hanging="288"/>
    </w:pPr>
    <w:rPr>
      <w:b/>
    </w:rPr>
  </w:style>
  <w:style w:type="paragraph" w:customStyle="1" w:styleId="synonym">
    <w:name w:val="synonym"/>
    <w:basedOn w:val="Data"/>
    <w:rsid w:val="00BF3E2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F3E2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185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2014-01-02T12:25:00Z</dcterms:created>
  <dcterms:modified xsi:type="dcterms:W3CDTF">2014-01-02T12:25:00Z</dcterms:modified>
</cp:coreProperties>
</file>