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AA" w:rsidRDefault="009F12AA" w:rsidP="009F12AA">
      <w:pPr>
        <w:pStyle w:val="Term"/>
      </w:pPr>
      <w:r w:rsidRPr="009F12AA">
        <w:rPr>
          <w:b/>
        </w:rPr>
        <w:t>Bertramia</w:t>
      </w:r>
      <w:r>
        <w:t xml:space="preserve"> Mesnil &amp; Caullery (1897). – Type: </w:t>
      </w:r>
      <w:r w:rsidRPr="009F12AA">
        <w:rPr>
          <w:i/>
        </w:rPr>
        <w:t>Bertramia marionensis</w:t>
      </w:r>
      <w:r>
        <w:t xml:space="preserve"> J. Weiser &amp; McCauley 1974 – [Fungi: Chytridiomycota: Incertae sedis: Chytridiomycetes: Chytridiomycetidae: Incertae sedis: Incertae sedis].</w:t>
      </w:r>
    </w:p>
    <w:p w:rsidR="009F12AA" w:rsidRDefault="009F12AA" w:rsidP="009F12AA">
      <w:pPr>
        <w:pStyle w:val="Term"/>
      </w:pPr>
      <w:r w:rsidRPr="009F12AA">
        <w:rPr>
          <w:b/>
        </w:rPr>
        <w:t>Hyaloraphidium</w:t>
      </w:r>
      <w:r>
        <w:t xml:space="preserve"> Korshikov, </w:t>
      </w:r>
      <w:r w:rsidRPr="009F12AA">
        <w:rPr>
          <w:i/>
        </w:rPr>
        <w:t>Arch. Protistenk.</w:t>
      </w:r>
      <w:r>
        <w:t xml:space="preserve"> </w:t>
      </w:r>
      <w:r w:rsidRPr="009F12AA">
        <w:rPr>
          <w:b/>
        </w:rPr>
        <w:t>74</w:t>
      </w:r>
      <w:r>
        <w:t xml:space="preserve">: 249-258 (1931). – Type: </w:t>
      </w:r>
      <w:r w:rsidRPr="009F12AA">
        <w:rPr>
          <w:i/>
        </w:rPr>
        <w:t>Hyaloraphidium curv</w:t>
      </w:r>
      <w:r w:rsidRPr="009F12AA">
        <w:rPr>
          <w:i/>
        </w:rPr>
        <w:t>a</w:t>
      </w:r>
      <w:r w:rsidRPr="009F12AA">
        <w:rPr>
          <w:i/>
        </w:rPr>
        <w:t>tum</w:t>
      </w:r>
      <w:r>
        <w:t xml:space="preserve"> Korshikov 1931 – [Fungi: Chytridiomycota: Incertae sedis: Chytridiomycetes: Chytridiom</w:t>
      </w:r>
      <w:r>
        <w:t>y</w:t>
      </w:r>
      <w:r>
        <w:t>cetidae: Incertae sedis: Incertae sedis].</w:t>
      </w:r>
    </w:p>
    <w:p w:rsidR="009F12AA" w:rsidRDefault="009F12AA" w:rsidP="009F12AA">
      <w:pPr>
        <w:pStyle w:val="Term"/>
      </w:pPr>
      <w:r w:rsidRPr="009F12AA">
        <w:rPr>
          <w:b/>
        </w:rPr>
        <w:t>Piromonas</w:t>
      </w:r>
      <w:r>
        <w:t xml:space="preserve"> E. Liebet., </w:t>
      </w:r>
      <w:r w:rsidRPr="009F12AA">
        <w:rPr>
          <w:i/>
        </w:rPr>
        <w:t>Arch. Protistenk.</w:t>
      </w:r>
      <w:r>
        <w:t xml:space="preserve"> </w:t>
      </w:r>
      <w:r w:rsidRPr="009F12AA">
        <w:rPr>
          <w:b/>
        </w:rPr>
        <w:t>19</w:t>
      </w:r>
      <w:r>
        <w:t xml:space="preserve">: 37 (1910). – Type: </w:t>
      </w:r>
      <w:r w:rsidRPr="009F12AA">
        <w:rPr>
          <w:i/>
        </w:rPr>
        <w:t>Piromonas communis</w:t>
      </w:r>
      <w:r>
        <w:t xml:space="preserve"> E. Liebet. 1910 – [Fungi: Chytridiomycota: Incertae sedis: Chytridiomycetes: Chytridiomycetidae: Incertae sedis: Incertae sedis].</w:t>
      </w:r>
    </w:p>
    <w:p w:rsidR="009F12AA" w:rsidRDefault="009F12AA" w:rsidP="009F12AA">
      <w:pPr>
        <w:pStyle w:val="Term"/>
      </w:pPr>
      <w:r w:rsidRPr="009F12AA">
        <w:rPr>
          <w:b/>
        </w:rPr>
        <w:t>Sphaeromonas</w:t>
      </w:r>
      <w:r>
        <w:t xml:space="preserve"> E. Liebet., </w:t>
      </w:r>
      <w:r w:rsidRPr="009F12AA">
        <w:rPr>
          <w:i/>
        </w:rPr>
        <w:t>Arch. Protistenk.</w:t>
      </w:r>
      <w:r>
        <w:t xml:space="preserve"> </w:t>
      </w:r>
      <w:r w:rsidRPr="009F12AA">
        <w:rPr>
          <w:b/>
        </w:rPr>
        <w:t>19</w:t>
      </w:r>
      <w:r>
        <w:t xml:space="preserve">: 25 (1910). – Type: </w:t>
      </w:r>
      <w:r w:rsidRPr="009F12AA">
        <w:rPr>
          <w:i/>
        </w:rPr>
        <w:t>Sphaeromonas communis</w:t>
      </w:r>
      <w:r>
        <w:t xml:space="preserve"> E. Li</w:t>
      </w:r>
      <w:r>
        <w:t>e</w:t>
      </w:r>
      <w:r>
        <w:t>bet. 1910 – [Fungi: Chytridiomycota: Incertae sedis: Chytridiomycetes: Chytridiomycetidae: I</w:t>
      </w:r>
      <w:r>
        <w:t>n</w:t>
      </w:r>
      <w:r>
        <w:t>certae sedis: Incertae sedis].</w:t>
      </w:r>
    </w:p>
    <w:p w:rsidR="009F12AA" w:rsidRDefault="009F12AA" w:rsidP="009F12AA">
      <w:pPr>
        <w:pStyle w:val="Term"/>
      </w:pPr>
      <w:r w:rsidRPr="009F12AA">
        <w:rPr>
          <w:b/>
        </w:rPr>
        <w:t>Tetrachytrium</w:t>
      </w:r>
      <w:r>
        <w:t xml:space="preserve"> Sorokīn, </w:t>
      </w:r>
      <w:r w:rsidRPr="009F12AA">
        <w:rPr>
          <w:i/>
        </w:rPr>
        <w:t>Bot. Ztg.</w:t>
      </w:r>
      <w:r>
        <w:t xml:space="preserve"> </w:t>
      </w:r>
      <w:r w:rsidRPr="009F12AA">
        <w:rPr>
          <w:b/>
        </w:rPr>
        <w:t>32</w:t>
      </w:r>
      <w:r>
        <w:t xml:space="preserve">: 311 (1874). – Type: </w:t>
      </w:r>
      <w:r w:rsidRPr="009F12AA">
        <w:rPr>
          <w:i/>
        </w:rPr>
        <w:t>Tetrachytrium triceps</w:t>
      </w:r>
      <w:r>
        <w:t xml:space="preserve"> Sorokīn 1874 </w:t>
      </w:r>
      <w:bookmarkStart w:id="0" w:name="SOS"/>
      <w:bookmarkEnd w:id="0"/>
      <w:r>
        <w:t>– [Fungi: Chytridiomycota: Incertae sedis: Ch</w:t>
      </w:r>
      <w:r>
        <w:t>y</w:t>
      </w:r>
      <w:r>
        <w:t>tridiomycetes: Chytridiomycetidae: Incertae sedis: Incertae sedis].</w:t>
      </w:r>
    </w:p>
    <w:p w:rsidR="009F12AA" w:rsidRDefault="009F12AA" w:rsidP="009F12AA">
      <w:pPr>
        <w:pStyle w:val="Term"/>
      </w:pPr>
      <w:r w:rsidRPr="009F12AA">
        <w:rPr>
          <w:b/>
        </w:rPr>
        <w:t>Zygochytrium</w:t>
      </w:r>
      <w:r>
        <w:t xml:space="preserve"> Sorokīn, </w:t>
      </w:r>
      <w:r w:rsidRPr="009F12AA">
        <w:rPr>
          <w:i/>
        </w:rPr>
        <w:t>Bot. Ztg.</w:t>
      </w:r>
      <w:r>
        <w:t xml:space="preserve"> </w:t>
      </w:r>
      <w:r w:rsidRPr="009F12AA">
        <w:rPr>
          <w:b/>
        </w:rPr>
        <w:t>32</w:t>
      </w:r>
      <w:r>
        <w:t xml:space="preserve">: 308 (1874). – Type: </w:t>
      </w:r>
      <w:r w:rsidRPr="009F12AA">
        <w:rPr>
          <w:i/>
        </w:rPr>
        <w:t>Zygochytrium aurantiacum</w:t>
      </w:r>
      <w:r>
        <w:t xml:space="preserve"> Sorokīn 1874 – [Fungi: Chytridiomycota: Incertae sedis: Ch</w:t>
      </w:r>
      <w:r>
        <w:t>y</w:t>
      </w:r>
      <w:r>
        <w:t>tridiomycetes: Chytridiomycetidae: Incertae sedis: Incertae sedis].</w:t>
      </w:r>
    </w:p>
    <w:p w:rsidR="00623A51" w:rsidRPr="000C7C11" w:rsidRDefault="00623A51" w:rsidP="009F12AA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2AA" w:rsidRDefault="009F12AA">
      <w:r>
        <w:separator/>
      </w:r>
    </w:p>
  </w:endnote>
  <w:endnote w:type="continuationSeparator" w:id="0">
    <w:p w:rsidR="009F12AA" w:rsidRDefault="009F1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2AA" w:rsidRDefault="009F12AA">
      <w:r>
        <w:separator/>
      </w:r>
    </w:p>
  </w:footnote>
  <w:footnote w:type="continuationSeparator" w:id="0">
    <w:p w:rsidR="009F12AA" w:rsidRDefault="009F1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073A2F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073A2F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73A2F"/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9F12AA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073A2F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073A2F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073A2F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073A2F"/>
    <w:pPr>
      <w:ind w:left="0"/>
    </w:pPr>
  </w:style>
  <w:style w:type="paragraph" w:customStyle="1" w:styleId="Name">
    <w:name w:val="Name"/>
    <w:basedOn w:val="Normal"/>
    <w:rsid w:val="00073A2F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073A2F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073A2F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073A2F"/>
    <w:pPr>
      <w:outlineLvl w:val="4"/>
    </w:pPr>
    <w:rPr>
      <w:sz w:val="20"/>
    </w:rPr>
  </w:style>
  <w:style w:type="paragraph" w:customStyle="1" w:styleId="Data">
    <w:name w:val="Data"/>
    <w:basedOn w:val="Normal"/>
    <w:rsid w:val="00073A2F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073A2F"/>
    <w:pPr>
      <w:ind w:left="960"/>
    </w:pPr>
  </w:style>
  <w:style w:type="paragraph" w:styleId="TOC2">
    <w:name w:val="toc 2"/>
    <w:basedOn w:val="Normal"/>
    <w:next w:val="Normal"/>
    <w:autoRedefine/>
    <w:semiHidden/>
    <w:rsid w:val="00073A2F"/>
    <w:pPr>
      <w:ind w:left="160"/>
    </w:pPr>
  </w:style>
  <w:style w:type="paragraph" w:styleId="TOC3">
    <w:name w:val="toc 3"/>
    <w:basedOn w:val="Normal"/>
    <w:next w:val="Normal"/>
    <w:autoRedefine/>
    <w:semiHidden/>
    <w:rsid w:val="00073A2F"/>
    <w:pPr>
      <w:ind w:left="320"/>
    </w:pPr>
  </w:style>
  <w:style w:type="paragraph" w:styleId="TOC4">
    <w:name w:val="toc 4"/>
    <w:basedOn w:val="Normal"/>
    <w:next w:val="Normal"/>
    <w:autoRedefine/>
    <w:semiHidden/>
    <w:rsid w:val="00073A2F"/>
    <w:pPr>
      <w:ind w:left="480"/>
    </w:pPr>
  </w:style>
  <w:style w:type="paragraph" w:styleId="TOC5">
    <w:name w:val="toc 5"/>
    <w:basedOn w:val="Normal"/>
    <w:next w:val="Normal"/>
    <w:autoRedefine/>
    <w:semiHidden/>
    <w:rsid w:val="00073A2F"/>
    <w:pPr>
      <w:ind w:left="640"/>
    </w:pPr>
  </w:style>
  <w:style w:type="paragraph" w:styleId="TOC6">
    <w:name w:val="toc 6"/>
    <w:basedOn w:val="Normal"/>
    <w:next w:val="Normal"/>
    <w:autoRedefine/>
    <w:semiHidden/>
    <w:rsid w:val="00073A2F"/>
    <w:pPr>
      <w:ind w:left="800"/>
    </w:pPr>
  </w:style>
  <w:style w:type="paragraph" w:styleId="TOC8">
    <w:name w:val="toc 8"/>
    <w:basedOn w:val="Normal"/>
    <w:next w:val="Normal"/>
    <w:autoRedefine/>
    <w:semiHidden/>
    <w:rsid w:val="00073A2F"/>
    <w:pPr>
      <w:ind w:left="1120"/>
    </w:pPr>
  </w:style>
  <w:style w:type="paragraph" w:styleId="TOC9">
    <w:name w:val="toc 9"/>
    <w:basedOn w:val="Normal"/>
    <w:next w:val="Normal"/>
    <w:autoRedefine/>
    <w:semiHidden/>
    <w:rsid w:val="00073A2F"/>
    <w:pPr>
      <w:ind w:left="1280"/>
    </w:pPr>
  </w:style>
  <w:style w:type="paragraph" w:styleId="Header">
    <w:name w:val="header"/>
    <w:basedOn w:val="Normal"/>
    <w:rsid w:val="00073A2F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073A2F"/>
    <w:pPr>
      <w:ind w:left="0"/>
    </w:pPr>
    <w:rPr>
      <w:sz w:val="28"/>
    </w:rPr>
  </w:style>
  <w:style w:type="paragraph" w:customStyle="1" w:styleId="Family">
    <w:name w:val="Family"/>
    <w:basedOn w:val="Order"/>
    <w:rsid w:val="00073A2F"/>
  </w:style>
  <w:style w:type="paragraph" w:styleId="Footer">
    <w:name w:val="footer"/>
    <w:basedOn w:val="Normal"/>
    <w:rsid w:val="00073A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73A2F"/>
  </w:style>
  <w:style w:type="paragraph" w:customStyle="1" w:styleId="Hierarchy">
    <w:name w:val="Hierarchy"/>
    <w:basedOn w:val="Normal"/>
    <w:rsid w:val="00073A2F"/>
    <w:pPr>
      <w:ind w:left="0"/>
    </w:pPr>
  </w:style>
  <w:style w:type="paragraph" w:customStyle="1" w:styleId="Genus">
    <w:name w:val="Genus"/>
    <w:basedOn w:val="Normal"/>
    <w:rsid w:val="00073A2F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073A2F"/>
    <w:pPr>
      <w:spacing w:after="120"/>
    </w:pPr>
  </w:style>
  <w:style w:type="paragraph" w:customStyle="1" w:styleId="Synonyms">
    <w:name w:val="Synonyms"/>
    <w:basedOn w:val="Genus"/>
    <w:rsid w:val="00073A2F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073A2F"/>
    <w:rPr>
      <w:b/>
    </w:rPr>
  </w:style>
  <w:style w:type="paragraph" w:styleId="Bibliography">
    <w:name w:val="Bibliography"/>
    <w:basedOn w:val="Normal"/>
    <w:rsid w:val="00073A2F"/>
    <w:pPr>
      <w:ind w:hanging="288"/>
    </w:pPr>
    <w:rPr>
      <w:b/>
    </w:rPr>
  </w:style>
  <w:style w:type="paragraph" w:customStyle="1" w:styleId="synonym">
    <w:name w:val="synonym"/>
    <w:basedOn w:val="Data"/>
    <w:rsid w:val="00073A2F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073A2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137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2014-01-02T13:54:00Z</dcterms:created>
  <dcterms:modified xsi:type="dcterms:W3CDTF">2014-01-02T13:54:00Z</dcterms:modified>
</cp:coreProperties>
</file>