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CE" w:rsidRDefault="008819CE" w:rsidP="008819CE">
      <w:pPr>
        <w:pStyle w:val="Term"/>
      </w:pPr>
      <w:r w:rsidRPr="008819CE">
        <w:rPr>
          <w:b/>
        </w:rPr>
        <w:t>Actinocymbe</w:t>
      </w:r>
      <w:r>
        <w:t xml:space="preserve"> Höhn., </w:t>
      </w:r>
      <w:r w:rsidRPr="008819CE">
        <w:rPr>
          <w:i/>
        </w:rPr>
        <w:t>Sber. Akad. Wiss. Wien</w:t>
      </w:r>
      <w:r>
        <w:t xml:space="preserve"> Math.-naturw. Kl., Abt. 1 </w:t>
      </w:r>
      <w:r w:rsidRPr="008819CE">
        <w:rPr>
          <w:b/>
        </w:rPr>
        <w:t>120</w:t>
      </w:r>
      <w:r>
        <w:t xml:space="preserve">: 416 [38 repr.] (1911). – Type: </w:t>
      </w:r>
      <w:r w:rsidRPr="008819CE">
        <w:rPr>
          <w:i/>
        </w:rPr>
        <w:t>Actinocymbe separato-setosa</w:t>
      </w:r>
      <w:r>
        <w:t xml:space="preserve"> (Henn.) Höhn. 1911 – [Fungi: Ascomycota: Pezizom</w:t>
      </w:r>
      <w:r>
        <w:t>y</w:t>
      </w:r>
      <w:r>
        <w:t>cotina: Eurotiomycetes: Chaetothyriomycetidae: Chaetothyriales: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Bisbyopeltis</w:t>
      </w:r>
      <w:r>
        <w:t xml:space="preserve"> Bat. &amp; A.F. Vital, </w:t>
      </w:r>
      <w:r w:rsidRPr="008819CE">
        <w:rPr>
          <w:i/>
        </w:rPr>
        <w:t>Anais Soc. Biol. Pernambuco</w:t>
      </w:r>
      <w:r>
        <w:t xml:space="preserve"> </w:t>
      </w:r>
      <w:r w:rsidRPr="008819CE">
        <w:rPr>
          <w:b/>
        </w:rPr>
        <w:t>15</w:t>
      </w:r>
      <w:r>
        <w:t xml:space="preserve"> (2): 402 (1957). – Type: </w:t>
      </w:r>
      <w:r w:rsidRPr="008819CE">
        <w:rPr>
          <w:i/>
        </w:rPr>
        <w:t>Bi</w:t>
      </w:r>
      <w:r w:rsidRPr="008819CE">
        <w:rPr>
          <w:i/>
        </w:rPr>
        <w:t>s</w:t>
      </w:r>
      <w:r w:rsidRPr="008819CE">
        <w:rPr>
          <w:i/>
        </w:rPr>
        <w:t>byopeltis phoebes</w:t>
      </w:r>
      <w:r>
        <w:t xml:space="preserve"> Bat. &amp; A.F. Vital 1957 – [Fungi: Ascomycota: Pezizomycotina: Euroti</w:t>
      </w:r>
      <w:r>
        <w:t>o</w:t>
      </w:r>
      <w:r>
        <w:t>mycetes: Chaetothyriomycetidae: Chaetothyriales: Coccodiniaceae].</w:t>
      </w:r>
    </w:p>
    <w:p w:rsidR="008819CE" w:rsidRDefault="008819CE" w:rsidP="008819CE">
      <w:pPr>
        <w:pStyle w:val="Term"/>
      </w:pPr>
      <w:r w:rsidRPr="008819CE">
        <w:rPr>
          <w:b/>
        </w:rPr>
        <w:t>Capronia</w:t>
      </w:r>
      <w:r>
        <w:t xml:space="preserve"> Sacc., </w:t>
      </w:r>
      <w:r w:rsidRPr="008819CE">
        <w:rPr>
          <w:i/>
        </w:rPr>
        <w:t>Syll. fung.</w:t>
      </w:r>
      <w:r>
        <w:t xml:space="preserve"> (Abellini) </w:t>
      </w:r>
      <w:r w:rsidRPr="008819CE">
        <w:rPr>
          <w:b/>
        </w:rPr>
        <w:t>2</w:t>
      </w:r>
      <w:r>
        <w:t xml:space="preserve">: 288 (1883). – Type: </w:t>
      </w:r>
      <w:r w:rsidRPr="008819CE">
        <w:rPr>
          <w:i/>
        </w:rPr>
        <w:t>Capronia sexdecimspora</w:t>
      </w:r>
      <w:r>
        <w:t xml:space="preserve"> (Cooke) Sacc. 1883 – [Fungi: Ascomycota: Pezizomycotina: E</w:t>
      </w:r>
      <w:r>
        <w:t>u</w:t>
      </w:r>
      <w:r>
        <w:t>rotiomycetes: Incertae sedis: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Ceramothyrium</w:t>
      </w:r>
      <w:r>
        <w:t xml:space="preserve"> Bat. &amp; H. Maia, </w:t>
      </w:r>
      <w:r w:rsidRPr="008819CE">
        <w:rPr>
          <w:i/>
        </w:rPr>
        <w:t>Publções Inst. Micol. Recife</w:t>
      </w:r>
      <w:r>
        <w:t xml:space="preserve"> </w:t>
      </w:r>
      <w:r w:rsidRPr="008819CE">
        <w:rPr>
          <w:b/>
        </w:rPr>
        <w:t>23</w:t>
      </w:r>
      <w:r>
        <w:t xml:space="preserve"> (1-3): 5 (1956). – Type: </w:t>
      </w:r>
      <w:r w:rsidRPr="008819CE">
        <w:rPr>
          <w:i/>
        </w:rPr>
        <w:t>Ceram</w:t>
      </w:r>
      <w:r w:rsidRPr="008819CE">
        <w:rPr>
          <w:i/>
        </w:rPr>
        <w:t>o</w:t>
      </w:r>
      <w:r w:rsidRPr="008819CE">
        <w:rPr>
          <w:i/>
        </w:rPr>
        <w:t>thyrium paiveae</w:t>
      </w:r>
      <w:r>
        <w:t xml:space="preserve"> Bat. &amp; H. Maia 1956 – [Fungi: Ascomycota: Pezizomycotina: Eurotiomycetes: Chaetothyriomycetidae: Chaetothyriales: Chaet</w:t>
      </w:r>
      <w:r>
        <w:t>o</w:t>
      </w:r>
      <w:r>
        <w:t>thyriaceae].</w:t>
      </w:r>
    </w:p>
    <w:p w:rsidR="008819CE" w:rsidRDefault="008819CE" w:rsidP="008819CE">
      <w:pPr>
        <w:pStyle w:val="Term"/>
      </w:pPr>
      <w:r w:rsidRPr="008819CE">
        <w:rPr>
          <w:b/>
        </w:rPr>
        <w:t>Chaetothyrium</w:t>
      </w:r>
      <w:r>
        <w:t xml:space="preserve"> Speg., </w:t>
      </w:r>
      <w:r w:rsidRPr="008819CE">
        <w:rPr>
          <w:i/>
        </w:rPr>
        <w:t>Anal. Soc. cient. argent.</w:t>
      </w:r>
      <w:r>
        <w:t xml:space="preserve"> </w:t>
      </w:r>
      <w:r w:rsidRPr="008819CE">
        <w:rPr>
          <w:b/>
        </w:rPr>
        <w:t>26</w:t>
      </w:r>
      <w:r>
        <w:t xml:space="preserve"> (1): 46 (1888). – Type: </w:t>
      </w:r>
      <w:r w:rsidRPr="008819CE">
        <w:rPr>
          <w:i/>
        </w:rPr>
        <w:t>Chaetothyrium guaranit</w:t>
      </w:r>
      <w:r w:rsidRPr="008819CE">
        <w:rPr>
          <w:i/>
        </w:rPr>
        <w:t>i</w:t>
      </w:r>
      <w:r w:rsidRPr="008819CE">
        <w:rPr>
          <w:i/>
        </w:rPr>
        <w:t>cum</w:t>
      </w:r>
      <w:r>
        <w:t xml:space="preserve"> Speg. 1888 – [Fungi: Ascomycota: Peziz</w:t>
      </w:r>
      <w:r>
        <w:t>o</w:t>
      </w:r>
      <w:r>
        <w:t>mycotina: Eurotiomycetes: Chaetothyriomycet</w:t>
      </w:r>
      <w:r>
        <w:t>i</w:t>
      </w:r>
      <w:r>
        <w:t>dae: Chaetothyriales: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Coniosporium</w:t>
      </w:r>
      <w:r>
        <w:t xml:space="preserve"> Link, </w:t>
      </w:r>
      <w:r w:rsidRPr="008819CE">
        <w:rPr>
          <w:i/>
        </w:rPr>
        <w:t>Mag. Gesell. naturf. Freunde, Berlin</w:t>
      </w:r>
      <w:r>
        <w:t xml:space="preserve"> </w:t>
      </w:r>
      <w:r w:rsidRPr="008819CE">
        <w:rPr>
          <w:b/>
        </w:rPr>
        <w:t>3</w:t>
      </w:r>
      <w:r>
        <w:t xml:space="preserve"> (1-2): 8 (1809). – Type: </w:t>
      </w:r>
      <w:r w:rsidRPr="008819CE">
        <w:rPr>
          <w:i/>
        </w:rPr>
        <w:t>Coniosporium olivaceum</w:t>
      </w:r>
      <w:r>
        <w:t xml:space="preserve"> Link 1809 – [Fungi: Ascomycota: P</w:t>
      </w:r>
      <w:r>
        <w:t>e</w:t>
      </w:r>
      <w:r>
        <w:t>zizomycotina: Eurotiomycetes: Chaetothyriom</w:t>
      </w:r>
      <w:r>
        <w:t>y</w:t>
      </w:r>
      <w:r>
        <w:t>cetidae: Chaetothyriales: Incertae sedis].</w:t>
      </w:r>
    </w:p>
    <w:p w:rsidR="008819CE" w:rsidRDefault="008819CE" w:rsidP="008819CE">
      <w:pPr>
        <w:pStyle w:val="Term"/>
      </w:pPr>
      <w:r w:rsidRPr="008819CE">
        <w:rPr>
          <w:b/>
        </w:rPr>
        <w:t>Cyphellophora</w:t>
      </w:r>
      <w:r>
        <w:t xml:space="preserve"> G.A. de Vries, </w:t>
      </w:r>
      <w:r w:rsidRPr="008819CE">
        <w:rPr>
          <w:i/>
        </w:rPr>
        <w:t>Mycopath. Mycol. appl.</w:t>
      </w:r>
      <w:r>
        <w:t xml:space="preserve"> </w:t>
      </w:r>
      <w:r w:rsidRPr="008819CE">
        <w:rPr>
          <w:b/>
        </w:rPr>
        <w:t>16</w:t>
      </w:r>
      <w:r>
        <w:t xml:space="preserve"> (1): 47 (1962). – Type: </w:t>
      </w:r>
      <w:r w:rsidRPr="008819CE">
        <w:rPr>
          <w:i/>
        </w:rPr>
        <w:t>Cyphellophora laciniata</w:t>
      </w:r>
      <w:r>
        <w:t xml:space="preserve"> G.A. de Vries 1962 – [Fungi: Ascom</w:t>
      </w:r>
      <w:r>
        <w:t>y</w:t>
      </w:r>
      <w:r>
        <w:t>cota: Pezizomycotina: Eurotiomycetes: Chaet</w:t>
      </w:r>
      <w:r>
        <w:t>o</w:t>
      </w:r>
      <w:r>
        <w:t>thyriomycetidae: Chaetothyriales: Chaetothyr</w:t>
      </w:r>
      <w:r>
        <w:t>i</w:t>
      </w:r>
      <w:r>
        <w:t>aceae].</w:t>
      </w:r>
    </w:p>
    <w:p w:rsidR="008819CE" w:rsidRDefault="008819CE" w:rsidP="008819CE">
      <w:pPr>
        <w:pStyle w:val="Term"/>
      </w:pPr>
      <w:r w:rsidRPr="008819CE">
        <w:rPr>
          <w:b/>
        </w:rPr>
        <w:t>Euceramia</w:t>
      </w:r>
      <w:r>
        <w:t xml:space="preserve"> Bat. &amp; Cif., </w:t>
      </w:r>
      <w:r w:rsidRPr="008819CE">
        <w:rPr>
          <w:i/>
        </w:rPr>
        <w:t>Beih. Sydowia</w:t>
      </w:r>
      <w:r>
        <w:t xml:space="preserve"> </w:t>
      </w:r>
      <w:r w:rsidRPr="008819CE">
        <w:rPr>
          <w:b/>
        </w:rPr>
        <w:t>3</w:t>
      </w:r>
      <w:r>
        <w:t xml:space="preserve">: 121 (1962). – Type: </w:t>
      </w:r>
      <w:r w:rsidRPr="008819CE">
        <w:rPr>
          <w:i/>
        </w:rPr>
        <w:t>Euceramia palmicola</w:t>
      </w:r>
      <w:r>
        <w:t xml:space="preserve"> Bat. &amp; Cif. 1962 – [Fungi: Ascomycota: Pezizomycotina: E</w:t>
      </w:r>
      <w:r>
        <w:t>u</w:t>
      </w:r>
      <w:r>
        <w:t>rotiomycetes: Chaetothyriomycetidae: Chaetoth</w:t>
      </w:r>
      <w:r>
        <w:t>y</w:t>
      </w:r>
      <w:r>
        <w:t>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Exophiala</w:t>
      </w:r>
      <w:r>
        <w:t xml:space="preserve"> J.W. Carmich., </w:t>
      </w:r>
      <w:r w:rsidRPr="008819CE">
        <w:rPr>
          <w:i/>
        </w:rPr>
        <w:t>Sabouraudia</w:t>
      </w:r>
      <w:r>
        <w:t xml:space="preserve"> </w:t>
      </w:r>
      <w:r w:rsidRPr="008819CE">
        <w:rPr>
          <w:b/>
        </w:rPr>
        <w:t>5</w:t>
      </w:r>
      <w:r>
        <w:t xml:space="preserve">: 122 (1966). – Type: </w:t>
      </w:r>
      <w:r w:rsidRPr="008819CE">
        <w:rPr>
          <w:i/>
        </w:rPr>
        <w:t>Exophiala salmonis</w:t>
      </w:r>
      <w:r>
        <w:t xml:space="preserve"> J.W. Ca</w:t>
      </w:r>
      <w:r>
        <w:t>r</w:t>
      </w:r>
      <w:r>
        <w:t>mich. 1966 – [Fungi: Ascomycota: Pezizom</w:t>
      </w:r>
      <w:r>
        <w:t>y</w:t>
      </w:r>
      <w:r>
        <w:t>cotina: Eurotiomycetes: Chaetothyriomycetidae: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Fonsecaea</w:t>
      </w:r>
      <w:r>
        <w:t xml:space="preserve"> Negroni, </w:t>
      </w:r>
      <w:r w:rsidRPr="008819CE">
        <w:rPr>
          <w:i/>
        </w:rPr>
        <w:t xml:space="preserve">Revta Inst. Bacteriol. </w:t>
      </w:r>
      <w:r>
        <w:rPr>
          <w:i/>
        </w:rPr>
        <w:t>‘</w:t>
      </w:r>
      <w:r w:rsidRPr="008819CE">
        <w:rPr>
          <w:i/>
        </w:rPr>
        <w:t>Dr. Carlos G. Malbrán</w:t>
      </w:r>
      <w:r>
        <w:rPr>
          <w:i/>
        </w:rPr>
        <w:t>’</w:t>
      </w:r>
      <w:r>
        <w:t xml:space="preserve"> </w:t>
      </w:r>
      <w:r w:rsidRPr="008819CE">
        <w:rPr>
          <w:b/>
        </w:rPr>
        <w:t>7</w:t>
      </w:r>
      <w:r>
        <w:t xml:space="preserve">: 424 (1936). – Type: </w:t>
      </w:r>
      <w:r w:rsidRPr="008819CE">
        <w:rPr>
          <w:i/>
        </w:rPr>
        <w:t>Fonsecaea pedrosoi</w:t>
      </w:r>
      <w:r>
        <w:t xml:space="preserve"> (Brumpt) Negroni 1936 – [Fungi: Ascomycota: Pezizomycotina: Euroti</w:t>
      </w:r>
      <w:r>
        <w:t>o</w:t>
      </w:r>
      <w:r>
        <w:t>mycetes: Chaetothyriomycetidae: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Merismella</w:t>
      </w:r>
      <w:r>
        <w:t xml:space="preserve"> Syd., </w:t>
      </w:r>
      <w:r w:rsidRPr="008819CE">
        <w:rPr>
          <w:i/>
        </w:rPr>
        <w:t>Annls mycol.</w:t>
      </w:r>
      <w:r>
        <w:t xml:space="preserve"> </w:t>
      </w:r>
      <w:r w:rsidRPr="008819CE">
        <w:rPr>
          <w:b/>
        </w:rPr>
        <w:t>25</w:t>
      </w:r>
      <w:r>
        <w:t xml:space="preserve"> (1/2): 114 (1927). – Type: </w:t>
      </w:r>
      <w:r w:rsidRPr="008819CE">
        <w:rPr>
          <w:i/>
        </w:rPr>
        <w:t>Merismella concinna</w:t>
      </w:r>
      <w:r>
        <w:t xml:space="preserve"> Syd. 1927 – [Fungi: Ascomycota: Pezizomycotina: Euroti</w:t>
      </w:r>
      <w:r>
        <w:t>o</w:t>
      </w:r>
      <w:r>
        <w:t>mycetes: Chaetothyriomycetidae: Chaetothyriales: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Microcallis</w:t>
      </w:r>
      <w:r>
        <w:t xml:space="preserve"> Syd., </w:t>
      </w:r>
      <w:r w:rsidRPr="008819CE">
        <w:rPr>
          <w:i/>
        </w:rPr>
        <w:t>Annls mycol.</w:t>
      </w:r>
      <w:r>
        <w:t xml:space="preserve"> </w:t>
      </w:r>
      <w:r w:rsidRPr="008819CE">
        <w:rPr>
          <w:b/>
        </w:rPr>
        <w:t>24</w:t>
      </w:r>
      <w:r>
        <w:t xml:space="preserve"> (5/6): 337 (1926). – Type: </w:t>
      </w:r>
      <w:r w:rsidRPr="008819CE">
        <w:rPr>
          <w:i/>
        </w:rPr>
        <w:t>Microcallis phoebes</w:t>
      </w:r>
      <w:r>
        <w:t xml:space="preserve"> Syd. 1926 – [Fungi: Ascomycota: Pezizomycotina: Euroti</w:t>
      </w:r>
      <w:r>
        <w:t>o</w:t>
      </w:r>
      <w:r>
        <w:t>mycetes: Chaetothyriomycetidae: Chaetothyriales: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Nadsoniella</w:t>
      </w:r>
      <w:r>
        <w:t xml:space="preserve"> Issatsch., </w:t>
      </w:r>
      <w:r w:rsidRPr="008819CE">
        <w:rPr>
          <w:i/>
        </w:rPr>
        <w:t>Trudy Murmanskoĭ Nauchno-Promyslovoĭ Ekspeditsii 1906 Goda</w:t>
      </w:r>
      <w:r>
        <w:t xml:space="preserve"> (Petrograd): 273 (1914). – Type: </w:t>
      </w:r>
      <w:r w:rsidRPr="008819CE">
        <w:rPr>
          <w:i/>
        </w:rPr>
        <w:t>Nadsoniella nigra</w:t>
      </w:r>
      <w:r>
        <w:t xml:space="preserve"> Issatsch. 1914 – [Fungi: Ascomycota: Pezizomycotina: E</w:t>
      </w:r>
      <w:r>
        <w:t>u</w:t>
      </w:r>
      <w:r>
        <w:t>rotiomycetes: Chaetothyriomycetidae: Chaetoth</w:t>
      </w:r>
      <w:r>
        <w:t>y</w:t>
      </w:r>
      <w:r>
        <w:t>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Phaeococcomyces</w:t>
      </w:r>
      <w:r>
        <w:t xml:space="preserve"> de Hoog, </w:t>
      </w:r>
      <w:r w:rsidRPr="008819CE">
        <w:rPr>
          <w:i/>
        </w:rPr>
        <w:t>Taxon</w:t>
      </w:r>
      <w:r>
        <w:t xml:space="preserve"> </w:t>
      </w:r>
      <w:r w:rsidRPr="008819CE">
        <w:rPr>
          <w:b/>
        </w:rPr>
        <w:t>28</w:t>
      </w:r>
      <w:r>
        <w:t xml:space="preserve"> (4): 348 (1979). – Type: </w:t>
      </w:r>
      <w:r w:rsidRPr="008819CE">
        <w:rPr>
          <w:i/>
        </w:rPr>
        <w:t>Phaeococcomyces nigricans</w:t>
      </w:r>
      <w:r>
        <w:t xml:space="preserve"> (M.A. Rich &amp; A.M. Stern) de Hoog 1979 – [Fungi: Ascomycota: Pezizomycotina: Euroti</w:t>
      </w:r>
      <w:r>
        <w:t>o</w:t>
      </w:r>
      <w:r>
        <w:t>mycetes: Chaetothyriomycetidae: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Phaeosaccardinula</w:t>
      </w:r>
      <w:r>
        <w:t xml:space="preserve"> Henn., </w:t>
      </w:r>
      <w:r w:rsidRPr="008819CE">
        <w:rPr>
          <w:i/>
        </w:rPr>
        <w:t>Hedwigia</w:t>
      </w:r>
      <w:r>
        <w:t xml:space="preserve"> </w:t>
      </w:r>
      <w:r w:rsidRPr="008819CE">
        <w:rPr>
          <w:b/>
        </w:rPr>
        <w:t>44</w:t>
      </w:r>
      <w:r>
        <w:t xml:space="preserve">: 67 (1905). – Type: </w:t>
      </w:r>
      <w:r w:rsidRPr="008819CE">
        <w:rPr>
          <w:i/>
        </w:rPr>
        <w:t>Phaeosaccardinula diospyricola</w:t>
      </w:r>
      <w:r>
        <w:t xml:space="preserve"> Henn. 1905 – [Fungi: Ascomycota: Pezizomycotina: E</w:t>
      </w:r>
      <w:r>
        <w:t>u</w:t>
      </w:r>
      <w:r>
        <w:t>rotiomycetes: Chaetothyriomycetidae: Chaetoth</w:t>
      </w:r>
      <w:r>
        <w:t>y</w:t>
      </w:r>
      <w:r>
        <w:t>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Phialophora</w:t>
      </w:r>
      <w:r>
        <w:t xml:space="preserve"> Medlar, </w:t>
      </w:r>
      <w:r w:rsidRPr="008819CE">
        <w:rPr>
          <w:i/>
        </w:rPr>
        <w:t>Mycologia</w:t>
      </w:r>
      <w:r>
        <w:t xml:space="preserve"> </w:t>
      </w:r>
      <w:r w:rsidRPr="008819CE">
        <w:rPr>
          <w:b/>
        </w:rPr>
        <w:t>7</w:t>
      </w:r>
      <w:r>
        <w:t xml:space="preserve"> (4): 202 (1915). – Type: </w:t>
      </w:r>
      <w:r w:rsidRPr="008819CE">
        <w:rPr>
          <w:i/>
        </w:rPr>
        <w:t>Phialophora verrucosa</w:t>
      </w:r>
      <w:r>
        <w:t xml:space="preserve"> Medlar 1915 – [Fungi: Ascomycota: Pezizomycotina: Euroti</w:t>
      </w:r>
      <w:r>
        <w:t>o</w:t>
      </w:r>
      <w:r>
        <w:t>mycetes: Chaetothyriomycetidae: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Pleomelogramma</w:t>
      </w:r>
      <w:r>
        <w:t xml:space="preserve"> Speg., </w:t>
      </w:r>
      <w:r w:rsidRPr="008819CE">
        <w:rPr>
          <w:i/>
        </w:rPr>
        <w:t>Anal. Mus. nac. B. Aires</w:t>
      </w:r>
      <w:r>
        <w:t xml:space="preserve"> Ser. 3 </w:t>
      </w:r>
      <w:r w:rsidRPr="008819CE">
        <w:rPr>
          <w:b/>
        </w:rPr>
        <w:t>12</w:t>
      </w:r>
      <w:r>
        <w:t xml:space="preserve">: 389 (1909). – Type: </w:t>
      </w:r>
      <w:r w:rsidRPr="008819CE">
        <w:rPr>
          <w:i/>
        </w:rPr>
        <w:t>Pleomelogramma argentinense</w:t>
      </w:r>
      <w:r>
        <w:t xml:space="preserve"> Speg. 1909 – [Fungi: Ascomycota: Pezizomycotina: Eurotiomycetes: Incertae sedis: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lastRenderedPageBreak/>
        <w:t>Rhinocladiella</w:t>
      </w:r>
      <w:r>
        <w:t xml:space="preserve"> Nannf., </w:t>
      </w:r>
      <w:r w:rsidRPr="008819CE">
        <w:rPr>
          <w:i/>
        </w:rPr>
        <w:t>Svensk Skogsvårdsförening Tidskr.</w:t>
      </w:r>
      <w:r>
        <w:t xml:space="preserve"> </w:t>
      </w:r>
      <w:r w:rsidRPr="008819CE">
        <w:rPr>
          <w:b/>
        </w:rPr>
        <w:t>3-4</w:t>
      </w:r>
      <w:r>
        <w:t xml:space="preserve">: 461 (1934). – Type: </w:t>
      </w:r>
      <w:r w:rsidRPr="008819CE">
        <w:rPr>
          <w:i/>
        </w:rPr>
        <w:t>Rhinocladiella atrovirens</w:t>
      </w:r>
      <w:r>
        <w:t xml:space="preserve"> Nannf. 1934 – [Fungi: Ascomycota: Pezizomycotina: Eurotiomycetes: Chaetothyri</w:t>
      </w:r>
      <w:r>
        <w:t>o</w:t>
      </w:r>
      <w:r>
        <w:t>mycetidae: Chaetothyriales: Herpotrichiellaceae].</w:t>
      </w:r>
    </w:p>
    <w:p w:rsidR="008819CE" w:rsidRDefault="008819CE" w:rsidP="008819CE">
      <w:pPr>
        <w:pStyle w:val="Term"/>
      </w:pPr>
      <w:r w:rsidRPr="008819CE">
        <w:rPr>
          <w:b/>
        </w:rPr>
        <w:t>Stanhughesia</w:t>
      </w:r>
      <w:r>
        <w:t xml:space="preserve"> Constant., </w:t>
      </w:r>
      <w:r w:rsidRPr="008819CE">
        <w:rPr>
          <w:i/>
        </w:rPr>
        <w:t>Stud. Mycol.</w:t>
      </w:r>
      <w:r>
        <w:t xml:space="preserve"> </w:t>
      </w:r>
      <w:r w:rsidRPr="008819CE">
        <w:rPr>
          <w:b/>
        </w:rPr>
        <w:t>31</w:t>
      </w:r>
      <w:r>
        <w:t xml:space="preserve">: 71 (1989). – Type: </w:t>
      </w:r>
      <w:r w:rsidRPr="008819CE">
        <w:rPr>
          <w:i/>
        </w:rPr>
        <w:t>Stanhughesia linnaeae</w:t>
      </w:r>
      <w:r>
        <w:t xml:space="preserve"> Constant. 1989 – [Fungi: Ascomycota: Pezizomycotina: E</w:t>
      </w:r>
      <w:r>
        <w:t>u</w:t>
      </w:r>
      <w:r>
        <w:t>rotiomycetes: Chaetothyriomycetidae: Chaetoth</w:t>
      </w:r>
      <w:r>
        <w:t>y</w:t>
      </w:r>
      <w:r>
        <w:t>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Staninwardia</w:t>
      </w:r>
      <w:r>
        <w:t xml:space="preserve"> B. Sutton, </w:t>
      </w:r>
      <w:r w:rsidRPr="008819CE">
        <w:rPr>
          <w:i/>
        </w:rPr>
        <w:t>Trans. Br. mycol. Soc.</w:t>
      </w:r>
      <w:r>
        <w:t xml:space="preserve"> </w:t>
      </w:r>
      <w:r w:rsidRPr="008819CE">
        <w:rPr>
          <w:b/>
        </w:rPr>
        <w:t>57</w:t>
      </w:r>
      <w:r>
        <w:t xml:space="preserve"> (3): 540 (1971). – Type: </w:t>
      </w:r>
      <w:r w:rsidRPr="008819CE">
        <w:rPr>
          <w:i/>
        </w:rPr>
        <w:t>Staninwardia breviu</w:t>
      </w:r>
      <w:r w:rsidRPr="008819CE">
        <w:rPr>
          <w:i/>
        </w:rPr>
        <w:t>s</w:t>
      </w:r>
      <w:r w:rsidRPr="008819CE">
        <w:rPr>
          <w:i/>
        </w:rPr>
        <w:t>cula</w:t>
      </w:r>
      <w:r>
        <w:t xml:space="preserve"> B. Sutton 1971 – [Fungi: Ascomycota: P</w:t>
      </w:r>
      <w:r>
        <w:t>e</w:t>
      </w:r>
      <w:r>
        <w:t>zizomycotina: Eurotiomycetes: Chaetothyriom</w:t>
      </w:r>
      <w:r>
        <w:t>y</w:t>
      </w:r>
      <w:r>
        <w:t>cetidae: Chaetothyriales: Incertae sedis].</w:t>
      </w:r>
    </w:p>
    <w:p w:rsidR="008819CE" w:rsidRDefault="008819CE" w:rsidP="008819CE">
      <w:pPr>
        <w:pStyle w:val="Term"/>
      </w:pPr>
      <w:r w:rsidRPr="008819CE">
        <w:rPr>
          <w:b/>
        </w:rPr>
        <w:t>Treubiomyces</w:t>
      </w:r>
      <w:r>
        <w:t xml:space="preserve"> Höhn., </w:t>
      </w:r>
      <w:r w:rsidRPr="008819CE">
        <w:rPr>
          <w:i/>
        </w:rPr>
        <w:t>Sber. Akad. Wiss. Wien</w:t>
      </w:r>
      <w:r>
        <w:t xml:space="preserve"> Math.-naturw. Kl., Abt. 1 </w:t>
      </w:r>
      <w:r w:rsidRPr="008819CE">
        <w:rPr>
          <w:b/>
        </w:rPr>
        <w:t>118</w:t>
      </w:r>
      <w:r>
        <w:t xml:space="preserve">: 1180 [24 repr.] (1909). – Type: </w:t>
      </w:r>
      <w:r w:rsidRPr="008819CE">
        <w:rPr>
          <w:i/>
        </w:rPr>
        <w:t>Treubiomyces pulcherrimus</w:t>
      </w:r>
      <w:r>
        <w:t xml:space="preserve"> Höhn. 1909 – [Fungi: Ascomycota: Pezizom</w:t>
      </w:r>
      <w:r>
        <w:t>y</w:t>
      </w:r>
      <w:r>
        <w:t>cotina: Eurotiomycetes: Chaetothyriomycetidae: Chaetothyriales: Chaetothyriaceae].</w:t>
      </w:r>
    </w:p>
    <w:p w:rsidR="008819CE" w:rsidRDefault="008819CE" w:rsidP="008819CE">
      <w:pPr>
        <w:pStyle w:val="Term"/>
      </w:pPr>
      <w:r w:rsidRPr="008819CE">
        <w:rPr>
          <w:b/>
        </w:rPr>
        <w:t>Yatesula</w:t>
      </w:r>
      <w:r>
        <w:t xml:space="preserve"> Syd. &amp; P. Syd., </w:t>
      </w:r>
      <w:r w:rsidRPr="008819CE">
        <w:rPr>
          <w:i/>
        </w:rPr>
        <w:t>Annls mycol.</w:t>
      </w:r>
      <w:r>
        <w:t xml:space="preserve"> </w:t>
      </w:r>
      <w:r w:rsidRPr="008819CE">
        <w:rPr>
          <w:b/>
        </w:rPr>
        <w:t>15</w:t>
      </w:r>
      <w:r>
        <w:t xml:space="preserve"> (3/4): 237 (1917). – Type: </w:t>
      </w:r>
      <w:r w:rsidRPr="008819CE">
        <w:rPr>
          <w:i/>
        </w:rPr>
        <w:t>Yatesula calami</w:t>
      </w:r>
      <w:r>
        <w:t xml:space="preserve"> Syd. &amp; P. Syd. 1917 </w:t>
      </w:r>
      <w:bookmarkStart w:id="0" w:name="SOS"/>
      <w:bookmarkEnd w:id="0"/>
      <w:r>
        <w:t>– [Fungi: Ascomycota: Pezizomycotina: E</w:t>
      </w:r>
      <w:r>
        <w:t>u</w:t>
      </w:r>
      <w:r>
        <w:t>rotiomycetes: Chaetothyriomycetidae: Chaetoth</w:t>
      </w:r>
      <w:r>
        <w:t>y</w:t>
      </w:r>
      <w:r>
        <w:t>riales: Chaetothyriaceae].</w:t>
      </w:r>
    </w:p>
    <w:p w:rsidR="00623A51" w:rsidRPr="000C7C11" w:rsidRDefault="00623A51" w:rsidP="008819C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CE" w:rsidRDefault="008819CE">
      <w:r>
        <w:separator/>
      </w:r>
    </w:p>
  </w:endnote>
  <w:endnote w:type="continuationSeparator" w:id="0">
    <w:p w:rsidR="008819CE" w:rsidRDefault="0088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CE" w:rsidRDefault="008819CE">
      <w:r>
        <w:separator/>
      </w:r>
    </w:p>
  </w:footnote>
  <w:footnote w:type="continuationSeparator" w:id="0">
    <w:p w:rsidR="008819CE" w:rsidRDefault="0088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713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713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57136"/>
    <w:rsid w:val="0078319F"/>
    <w:rsid w:val="007B0B8B"/>
    <w:rsid w:val="00842E37"/>
    <w:rsid w:val="008819CE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5713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5713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5713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7136"/>
    <w:pPr>
      <w:ind w:left="0"/>
    </w:pPr>
  </w:style>
  <w:style w:type="paragraph" w:customStyle="1" w:styleId="Name">
    <w:name w:val="Name"/>
    <w:basedOn w:val="Normal"/>
    <w:rsid w:val="0075713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5713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5713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57136"/>
    <w:pPr>
      <w:outlineLvl w:val="4"/>
    </w:pPr>
    <w:rPr>
      <w:sz w:val="20"/>
    </w:rPr>
  </w:style>
  <w:style w:type="paragraph" w:customStyle="1" w:styleId="Data">
    <w:name w:val="Data"/>
    <w:basedOn w:val="Normal"/>
    <w:rsid w:val="0075713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57136"/>
    <w:pPr>
      <w:ind w:left="960"/>
    </w:pPr>
  </w:style>
  <w:style w:type="paragraph" w:styleId="TOC2">
    <w:name w:val="toc 2"/>
    <w:basedOn w:val="Normal"/>
    <w:next w:val="Normal"/>
    <w:autoRedefine/>
    <w:semiHidden/>
    <w:rsid w:val="00757136"/>
    <w:pPr>
      <w:ind w:left="160"/>
    </w:pPr>
  </w:style>
  <w:style w:type="paragraph" w:styleId="TOC3">
    <w:name w:val="toc 3"/>
    <w:basedOn w:val="Normal"/>
    <w:next w:val="Normal"/>
    <w:autoRedefine/>
    <w:semiHidden/>
    <w:rsid w:val="00757136"/>
    <w:pPr>
      <w:ind w:left="320"/>
    </w:pPr>
  </w:style>
  <w:style w:type="paragraph" w:styleId="TOC4">
    <w:name w:val="toc 4"/>
    <w:basedOn w:val="Normal"/>
    <w:next w:val="Normal"/>
    <w:autoRedefine/>
    <w:semiHidden/>
    <w:rsid w:val="00757136"/>
    <w:pPr>
      <w:ind w:left="480"/>
    </w:pPr>
  </w:style>
  <w:style w:type="paragraph" w:styleId="TOC5">
    <w:name w:val="toc 5"/>
    <w:basedOn w:val="Normal"/>
    <w:next w:val="Normal"/>
    <w:autoRedefine/>
    <w:semiHidden/>
    <w:rsid w:val="00757136"/>
    <w:pPr>
      <w:ind w:left="640"/>
    </w:pPr>
  </w:style>
  <w:style w:type="paragraph" w:styleId="TOC6">
    <w:name w:val="toc 6"/>
    <w:basedOn w:val="Normal"/>
    <w:next w:val="Normal"/>
    <w:autoRedefine/>
    <w:semiHidden/>
    <w:rsid w:val="00757136"/>
    <w:pPr>
      <w:ind w:left="800"/>
    </w:pPr>
  </w:style>
  <w:style w:type="paragraph" w:styleId="TOC8">
    <w:name w:val="toc 8"/>
    <w:basedOn w:val="Normal"/>
    <w:next w:val="Normal"/>
    <w:autoRedefine/>
    <w:semiHidden/>
    <w:rsid w:val="00757136"/>
    <w:pPr>
      <w:ind w:left="1120"/>
    </w:pPr>
  </w:style>
  <w:style w:type="paragraph" w:styleId="TOC9">
    <w:name w:val="toc 9"/>
    <w:basedOn w:val="Normal"/>
    <w:next w:val="Normal"/>
    <w:autoRedefine/>
    <w:semiHidden/>
    <w:rsid w:val="00757136"/>
    <w:pPr>
      <w:ind w:left="1280"/>
    </w:pPr>
  </w:style>
  <w:style w:type="paragraph" w:styleId="Header">
    <w:name w:val="header"/>
    <w:basedOn w:val="Normal"/>
    <w:rsid w:val="0075713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57136"/>
    <w:pPr>
      <w:ind w:left="0"/>
    </w:pPr>
    <w:rPr>
      <w:sz w:val="28"/>
    </w:rPr>
  </w:style>
  <w:style w:type="paragraph" w:customStyle="1" w:styleId="Family">
    <w:name w:val="Family"/>
    <w:basedOn w:val="Order"/>
    <w:rsid w:val="00757136"/>
  </w:style>
  <w:style w:type="paragraph" w:styleId="Footer">
    <w:name w:val="footer"/>
    <w:basedOn w:val="Normal"/>
    <w:rsid w:val="007571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136"/>
  </w:style>
  <w:style w:type="paragraph" w:customStyle="1" w:styleId="Hierarchy">
    <w:name w:val="Hierarchy"/>
    <w:basedOn w:val="Normal"/>
    <w:rsid w:val="00757136"/>
    <w:pPr>
      <w:ind w:left="0"/>
    </w:pPr>
  </w:style>
  <w:style w:type="paragraph" w:customStyle="1" w:styleId="Genus">
    <w:name w:val="Genus"/>
    <w:basedOn w:val="Normal"/>
    <w:rsid w:val="0075713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57136"/>
    <w:pPr>
      <w:spacing w:after="120"/>
    </w:pPr>
  </w:style>
  <w:style w:type="paragraph" w:customStyle="1" w:styleId="Synonyms">
    <w:name w:val="Synonyms"/>
    <w:basedOn w:val="Genus"/>
    <w:rsid w:val="0075713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57136"/>
    <w:rPr>
      <w:b/>
    </w:rPr>
  </w:style>
  <w:style w:type="paragraph" w:styleId="Bibliography">
    <w:name w:val="Bibliography"/>
    <w:basedOn w:val="Normal"/>
    <w:rsid w:val="00757136"/>
    <w:pPr>
      <w:ind w:hanging="288"/>
    </w:pPr>
    <w:rPr>
      <w:b/>
    </w:rPr>
  </w:style>
  <w:style w:type="paragraph" w:customStyle="1" w:styleId="synonym">
    <w:name w:val="synonym"/>
    <w:basedOn w:val="Data"/>
    <w:rsid w:val="0075713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5713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513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2014-01-02T12:22:00Z</dcterms:created>
  <dcterms:modified xsi:type="dcterms:W3CDTF">2014-01-02T12:22:00Z</dcterms:modified>
</cp:coreProperties>
</file>