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765" w:rsidRDefault="000C7765" w:rsidP="000C7765">
      <w:pPr>
        <w:pStyle w:val="Term"/>
      </w:pPr>
      <w:r w:rsidRPr="000C7765">
        <w:rPr>
          <w:b/>
        </w:rPr>
        <w:t>Candelaria</w:t>
      </w:r>
      <w:r>
        <w:t xml:space="preserve"> A. Massal., </w:t>
      </w:r>
      <w:r w:rsidRPr="000C7765">
        <w:rPr>
          <w:i/>
        </w:rPr>
        <w:t>Flora</w:t>
      </w:r>
      <w:r>
        <w:t xml:space="preserve"> Jena </w:t>
      </w:r>
      <w:r w:rsidRPr="000C7765">
        <w:rPr>
          <w:b/>
        </w:rPr>
        <w:t>35</w:t>
      </w:r>
      <w:r>
        <w:t xml:space="preserve">: 567 (1852). – Type: </w:t>
      </w:r>
      <w:r w:rsidRPr="000C7765">
        <w:rPr>
          <w:i/>
        </w:rPr>
        <w:t>Candelaria concolor</w:t>
      </w:r>
      <w:r>
        <w:t xml:space="preserve"> (Dicks.) Arnold 1879 – [Fungi: Ascomycota: Pezizomycotina: L</w:t>
      </w:r>
      <w:r>
        <w:t>e</w:t>
      </w:r>
      <w:r>
        <w:t>canoromycetes: Incertae sedis: Candelariales: Candelariaceae].</w:t>
      </w:r>
    </w:p>
    <w:p w:rsidR="000C7765" w:rsidRDefault="000C7765" w:rsidP="000C7765">
      <w:pPr>
        <w:pStyle w:val="Term"/>
      </w:pPr>
      <w:r w:rsidRPr="000C7765">
        <w:rPr>
          <w:b/>
        </w:rPr>
        <w:t>Candelariella</w:t>
      </w:r>
      <w:r>
        <w:t xml:space="preserve"> Müll. Arg., </w:t>
      </w:r>
      <w:r w:rsidRPr="000C7765">
        <w:rPr>
          <w:i/>
        </w:rPr>
        <w:t>Bull. Herb. Boissier</w:t>
      </w:r>
      <w:r>
        <w:t xml:space="preserve"> </w:t>
      </w:r>
      <w:r w:rsidRPr="000C7765">
        <w:rPr>
          <w:b/>
        </w:rPr>
        <w:t>2</w:t>
      </w:r>
      <w:r>
        <w:t xml:space="preserve"> (app. 1): 11, 47 (1894). – Type: </w:t>
      </w:r>
      <w:r w:rsidRPr="000C7765">
        <w:rPr>
          <w:i/>
        </w:rPr>
        <w:t>Candelariella vitellina</w:t>
      </w:r>
      <w:r>
        <w:t xml:space="preserve"> (Ehrh.) Müll. Arg. 1894 – [Fungi: Asc</w:t>
      </w:r>
      <w:r>
        <w:t>o</w:t>
      </w:r>
      <w:r>
        <w:t>mycota: Pezizomycotina: Lecanoromycetes: I</w:t>
      </w:r>
      <w:r>
        <w:t>n</w:t>
      </w:r>
      <w:r>
        <w:t>certae sedis: Candelariales: Candelariaceae].</w:t>
      </w:r>
    </w:p>
    <w:p w:rsidR="000C7765" w:rsidRDefault="000C7765" w:rsidP="000C7765">
      <w:pPr>
        <w:pStyle w:val="Term"/>
      </w:pPr>
      <w:r w:rsidRPr="000C7765">
        <w:rPr>
          <w:b/>
        </w:rPr>
        <w:t>Candelina</w:t>
      </w:r>
      <w:r>
        <w:t xml:space="preserve"> Poelt, </w:t>
      </w:r>
      <w:r w:rsidRPr="000C7765">
        <w:rPr>
          <w:i/>
        </w:rPr>
        <w:t>Phyton</w:t>
      </w:r>
      <w:r>
        <w:t xml:space="preserve"> Horn </w:t>
      </w:r>
      <w:r w:rsidRPr="000C7765">
        <w:rPr>
          <w:b/>
        </w:rPr>
        <w:t>16</w:t>
      </w:r>
      <w:r>
        <w:t xml:space="preserve"> (1-4): 194 (1974). – Type: </w:t>
      </w:r>
      <w:r w:rsidRPr="000C7765">
        <w:rPr>
          <w:i/>
        </w:rPr>
        <w:t>Candelina mexicana</w:t>
      </w:r>
      <w:r>
        <w:t xml:space="preserve"> (B. de Lesd.) Poelt 1974 – [Fungi: Ascomycota: Pezizomycotina: L</w:t>
      </w:r>
      <w:r>
        <w:t>e</w:t>
      </w:r>
      <w:r>
        <w:t>canoromycetes: Incertae sedis: Candelariales: Candelariaceae].</w:t>
      </w:r>
    </w:p>
    <w:p w:rsidR="000C7765" w:rsidRDefault="000C7765" w:rsidP="000C7765">
      <w:pPr>
        <w:pStyle w:val="Term"/>
      </w:pPr>
      <w:r w:rsidRPr="000C7765">
        <w:rPr>
          <w:b/>
        </w:rPr>
        <w:t>Placomaronea</w:t>
      </w:r>
      <w:r>
        <w:t xml:space="preserve"> Räsänen, </w:t>
      </w:r>
      <w:r w:rsidRPr="000C7765">
        <w:rPr>
          <w:i/>
        </w:rPr>
        <w:t>Ann. bot. Soc. Zool.-Bot. fenn. Vanamo</w:t>
      </w:r>
      <w:r>
        <w:t xml:space="preserve"> </w:t>
      </w:r>
      <w:r w:rsidRPr="000C7765">
        <w:rPr>
          <w:b/>
        </w:rPr>
        <w:t>20</w:t>
      </w:r>
      <w:r>
        <w:t xml:space="preserve"> (3): 29 (1944). – Type: </w:t>
      </w:r>
      <w:r w:rsidRPr="000C7765">
        <w:rPr>
          <w:i/>
        </w:rPr>
        <w:t>Plac</w:t>
      </w:r>
      <w:r w:rsidRPr="000C7765">
        <w:rPr>
          <w:i/>
        </w:rPr>
        <w:t>o</w:t>
      </w:r>
      <w:r w:rsidRPr="000C7765">
        <w:rPr>
          <w:i/>
        </w:rPr>
        <w:t>maronea candelarioides</w:t>
      </w:r>
      <w:r>
        <w:t xml:space="preserve"> Räsänen 1944 </w:t>
      </w:r>
      <w:bookmarkStart w:id="0" w:name="SOS"/>
      <w:bookmarkEnd w:id="0"/>
      <w:r>
        <w:t>– [Fungi: Ascomycota: Pezizomycotina: Lecanoromycetes: Incertae sedis: Candelariales: Candelariaceae].</w:t>
      </w:r>
    </w:p>
    <w:p w:rsidR="00623A51" w:rsidRPr="000C7C11" w:rsidRDefault="00623A51" w:rsidP="000C7765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765" w:rsidRDefault="000C7765">
      <w:r>
        <w:separator/>
      </w:r>
    </w:p>
  </w:endnote>
  <w:endnote w:type="continuationSeparator" w:id="0">
    <w:p w:rsidR="000C7765" w:rsidRDefault="000C7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765" w:rsidRDefault="000C7765">
      <w:r>
        <w:separator/>
      </w:r>
    </w:p>
  </w:footnote>
  <w:footnote w:type="continuationSeparator" w:id="0">
    <w:p w:rsidR="000C7765" w:rsidRDefault="000C77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4C69AE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4C69AE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765"/>
    <w:rsid w:val="000C7C11"/>
    <w:rsid w:val="00111B18"/>
    <w:rsid w:val="001533D2"/>
    <w:rsid w:val="00157D1A"/>
    <w:rsid w:val="00167C88"/>
    <w:rsid w:val="00196A7A"/>
    <w:rsid w:val="0023782C"/>
    <w:rsid w:val="002C330A"/>
    <w:rsid w:val="002C7F02"/>
    <w:rsid w:val="00316AB5"/>
    <w:rsid w:val="003173D7"/>
    <w:rsid w:val="00346B10"/>
    <w:rsid w:val="004C69AE"/>
    <w:rsid w:val="00532E41"/>
    <w:rsid w:val="005E2EA0"/>
    <w:rsid w:val="00623A51"/>
    <w:rsid w:val="0078319F"/>
    <w:rsid w:val="007B0B8B"/>
    <w:rsid w:val="00842E37"/>
    <w:rsid w:val="008E1953"/>
    <w:rsid w:val="00C24D95"/>
    <w:rsid w:val="00C4162A"/>
    <w:rsid w:val="00CF328D"/>
    <w:rsid w:val="00D8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4C69AE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4C69AE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4C69AE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4C69AE"/>
    <w:pPr>
      <w:ind w:left="0"/>
    </w:pPr>
  </w:style>
  <w:style w:type="paragraph" w:customStyle="1" w:styleId="Name">
    <w:name w:val="Name"/>
    <w:basedOn w:val="Normal"/>
    <w:rsid w:val="004C69AE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4C69AE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4C69AE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4C69AE"/>
    <w:pPr>
      <w:outlineLvl w:val="4"/>
    </w:pPr>
    <w:rPr>
      <w:sz w:val="20"/>
    </w:rPr>
  </w:style>
  <w:style w:type="paragraph" w:customStyle="1" w:styleId="Data">
    <w:name w:val="Data"/>
    <w:basedOn w:val="Normal"/>
    <w:rsid w:val="004C69AE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4C69AE"/>
    <w:pPr>
      <w:ind w:left="960"/>
    </w:pPr>
  </w:style>
  <w:style w:type="paragraph" w:styleId="TOC2">
    <w:name w:val="toc 2"/>
    <w:basedOn w:val="Normal"/>
    <w:next w:val="Normal"/>
    <w:autoRedefine/>
    <w:semiHidden/>
    <w:rsid w:val="004C69AE"/>
    <w:pPr>
      <w:ind w:left="160"/>
    </w:pPr>
  </w:style>
  <w:style w:type="paragraph" w:styleId="TOC3">
    <w:name w:val="toc 3"/>
    <w:basedOn w:val="Normal"/>
    <w:next w:val="Normal"/>
    <w:autoRedefine/>
    <w:semiHidden/>
    <w:rsid w:val="004C69AE"/>
    <w:pPr>
      <w:ind w:left="320"/>
    </w:pPr>
  </w:style>
  <w:style w:type="paragraph" w:styleId="TOC4">
    <w:name w:val="toc 4"/>
    <w:basedOn w:val="Normal"/>
    <w:next w:val="Normal"/>
    <w:autoRedefine/>
    <w:semiHidden/>
    <w:rsid w:val="004C69AE"/>
    <w:pPr>
      <w:ind w:left="480"/>
    </w:pPr>
  </w:style>
  <w:style w:type="paragraph" w:styleId="TOC5">
    <w:name w:val="toc 5"/>
    <w:basedOn w:val="Normal"/>
    <w:next w:val="Normal"/>
    <w:autoRedefine/>
    <w:semiHidden/>
    <w:rsid w:val="004C69AE"/>
    <w:pPr>
      <w:ind w:left="640"/>
    </w:pPr>
  </w:style>
  <w:style w:type="paragraph" w:styleId="TOC6">
    <w:name w:val="toc 6"/>
    <w:basedOn w:val="Normal"/>
    <w:next w:val="Normal"/>
    <w:autoRedefine/>
    <w:semiHidden/>
    <w:rsid w:val="004C69AE"/>
    <w:pPr>
      <w:ind w:left="800"/>
    </w:pPr>
  </w:style>
  <w:style w:type="paragraph" w:styleId="TOC8">
    <w:name w:val="toc 8"/>
    <w:basedOn w:val="Normal"/>
    <w:next w:val="Normal"/>
    <w:autoRedefine/>
    <w:semiHidden/>
    <w:rsid w:val="004C69AE"/>
    <w:pPr>
      <w:ind w:left="1120"/>
    </w:pPr>
  </w:style>
  <w:style w:type="paragraph" w:styleId="TOC9">
    <w:name w:val="toc 9"/>
    <w:basedOn w:val="Normal"/>
    <w:next w:val="Normal"/>
    <w:autoRedefine/>
    <w:semiHidden/>
    <w:rsid w:val="004C69AE"/>
    <w:pPr>
      <w:ind w:left="1280"/>
    </w:pPr>
  </w:style>
  <w:style w:type="paragraph" w:styleId="Header">
    <w:name w:val="header"/>
    <w:basedOn w:val="Normal"/>
    <w:rsid w:val="004C69AE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4C69AE"/>
    <w:pPr>
      <w:ind w:left="0"/>
    </w:pPr>
    <w:rPr>
      <w:sz w:val="28"/>
    </w:rPr>
  </w:style>
  <w:style w:type="paragraph" w:customStyle="1" w:styleId="Family">
    <w:name w:val="Family"/>
    <w:basedOn w:val="Order"/>
    <w:rsid w:val="004C69AE"/>
  </w:style>
  <w:style w:type="paragraph" w:styleId="Footer">
    <w:name w:val="footer"/>
    <w:basedOn w:val="Normal"/>
    <w:rsid w:val="004C69A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C69AE"/>
  </w:style>
  <w:style w:type="paragraph" w:customStyle="1" w:styleId="Hierarchy">
    <w:name w:val="Hierarchy"/>
    <w:basedOn w:val="Normal"/>
    <w:rsid w:val="004C69AE"/>
    <w:pPr>
      <w:ind w:left="0"/>
    </w:pPr>
  </w:style>
  <w:style w:type="paragraph" w:customStyle="1" w:styleId="Genus">
    <w:name w:val="Genus"/>
    <w:basedOn w:val="Normal"/>
    <w:rsid w:val="004C69AE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4C69AE"/>
    <w:pPr>
      <w:spacing w:after="120"/>
    </w:pPr>
  </w:style>
  <w:style w:type="paragraph" w:customStyle="1" w:styleId="Synonyms">
    <w:name w:val="Synonyms"/>
    <w:basedOn w:val="Genus"/>
    <w:rsid w:val="004C69AE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4C69AE"/>
    <w:rPr>
      <w:b/>
    </w:rPr>
  </w:style>
  <w:style w:type="paragraph" w:styleId="Bibliography">
    <w:name w:val="Bibliography"/>
    <w:basedOn w:val="Normal"/>
    <w:rsid w:val="004C69AE"/>
    <w:pPr>
      <w:ind w:hanging="288"/>
    </w:pPr>
    <w:rPr>
      <w:b/>
    </w:rPr>
  </w:style>
  <w:style w:type="paragraph" w:customStyle="1" w:styleId="synonym">
    <w:name w:val="synonym"/>
    <w:basedOn w:val="Data"/>
    <w:rsid w:val="004C69AE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4C69AE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0</TotalTime>
  <Pages>1</Pages>
  <Words>98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2014-01-02T12:20:00Z</dcterms:created>
  <dcterms:modified xsi:type="dcterms:W3CDTF">2014-01-02T12:20:00Z</dcterms:modified>
</cp:coreProperties>
</file>